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A" w:rsidRDefault="00A4231A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A4231A" w:rsidRDefault="00A4231A">
                  <w:pPr>
                    <w:spacing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A4231A" w:rsidRDefault="00A4231A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A4231A" w:rsidRDefault="00A4231A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декабря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A4231A" w:rsidRDefault="00A4231A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33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48)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A4231A" w:rsidRDefault="00A4231A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br/>
                    <w:t>5-6 декабря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A4231A" w:rsidRDefault="00A4231A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A4231A" w:rsidRDefault="00A4231A">
      <w:pPr>
        <w:widowControl w:val="0"/>
      </w:pPr>
    </w:p>
    <w:p w:rsidR="00A4231A" w:rsidRDefault="00A4231A">
      <w:pPr>
        <w:widowControl w:val="0"/>
        <w:rPr>
          <w:sz w:val="30"/>
          <w:szCs w:val="30"/>
        </w:rPr>
      </w:pPr>
    </w:p>
    <w:p w:rsidR="00A4231A" w:rsidRDefault="00A4231A">
      <w:pPr>
        <w:widowControl w:val="0"/>
        <w:rPr>
          <w:sz w:val="30"/>
          <w:szCs w:val="30"/>
          <w:lang w:val="en-US"/>
        </w:rPr>
      </w:pPr>
    </w:p>
    <w:p w:rsidR="00A4231A" w:rsidRDefault="00A4231A">
      <w:pPr>
        <w:rPr>
          <w:lang w:val="en-US"/>
        </w:rPr>
      </w:pPr>
    </w:p>
    <w:p w:rsidR="00A4231A" w:rsidRDefault="00A4231A">
      <w:pPr>
        <w:pStyle w:val="Heading1"/>
        <w:rPr>
          <w:color w:val="FF0000"/>
        </w:rPr>
      </w:pPr>
      <w:r>
        <w:rPr>
          <w:color w:val="FF0000"/>
        </w:rPr>
        <w:t>Темы:</w:t>
      </w:r>
    </w:p>
    <w:p w:rsidR="00A4231A" w:rsidRDefault="00A4231A">
      <w:pPr>
        <w:ind w:firstLine="1418"/>
        <w:jc w:val="left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1. Парламентские выборы: расстановка сил</w:t>
      </w:r>
    </w:p>
    <w:p w:rsidR="00A4231A" w:rsidRDefault="00A4231A">
      <w:pPr>
        <w:ind w:left="1843" w:hanging="425"/>
        <w:jc w:val="left"/>
        <w:rPr>
          <w:b/>
          <w:bCs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2. Сценарий политического самоубийства для Г.Явлинского</w:t>
      </w:r>
    </w:p>
    <w:p w:rsidR="00A4231A" w:rsidRDefault="00A4231A">
      <w:pPr>
        <w:pStyle w:val="Heading1"/>
        <w:rPr>
          <w:sz w:val="22"/>
          <w:szCs w:val="22"/>
          <w:u w:val="single"/>
        </w:rPr>
      </w:pPr>
      <w:r>
        <w:br w:type="page"/>
        <w:t>1. Парламентские выборы: расстановка сил</w:t>
      </w:r>
      <w:r>
        <w:rPr>
          <w:rStyle w:val="FootnoteReference"/>
        </w:rPr>
        <w:footnoteReference w:id="2"/>
      </w:r>
    </w:p>
    <w:p w:rsidR="00A4231A" w:rsidRDefault="00A4231A">
      <w:pPr>
        <w:pStyle w:val="Heading2"/>
      </w:pPr>
      <w:r>
        <w:t>Отношение к партиям – зеркало популярности лидеров</w:t>
      </w:r>
    </w:p>
    <w:p w:rsidR="00A4231A" w:rsidRDefault="00A4231A">
      <w:pPr>
        <w:spacing w:before="0" w:after="0"/>
        <w:ind w:firstLine="425"/>
      </w:pPr>
      <w:r>
        <w:t>За год до парламентских выборов группу фаворитов составляют партии и движения, возглавляемые реальными претендентами на президентский пост. Причем рейтинги этих политических объединений весьма близки к "президентским" рейтингам их лидеров: за Г.Зюганова в первом туре сейчас намерены голосовать 18% респондентов, за Г.Явлинского – 13%, за Ю.Луж</w:t>
      </w:r>
      <w:r>
        <w:softHyphen/>
        <w:t>ко</w:t>
      </w:r>
      <w:r>
        <w:softHyphen/>
        <w:t>ва – 12%,  за А.Лебедя – 10%.</w:t>
      </w:r>
    </w:p>
    <w:p w:rsidR="00A4231A" w:rsidRDefault="00A4231A">
      <w:pPr>
        <w:spacing w:before="0" w:after="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"Если бы выборы в Государственную Думу состоялись в ближайшее воскресенье, за какой политический блок (партию) Вы проголосовали бы скорее всего?*"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267"/>
        <w:gridCol w:w="709"/>
        <w:gridCol w:w="992"/>
        <w:gridCol w:w="894"/>
        <w:gridCol w:w="1047"/>
        <w:gridCol w:w="930"/>
        <w:gridCol w:w="862"/>
      </w:tblGrid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4725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Зюга-нова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Явлин-ского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Прима-кова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Коммунистическая партия РФ (Г.Зюганов)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94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"Яблоко" (Г.Явлинский)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6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"Отечество" (Ю.Лужков)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30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Народно-республиканская партия (А.Лебедь)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47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"Женщины России" (Е.Лахова)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Либерально-демократическая партия России (В.Жириновский)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Аграрная партия (М.Лапшин)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4231A" w:rsidRDefault="00A4231A">
      <w:pPr>
        <w:spacing w:before="80" w:after="0"/>
        <w:ind w:left="567" w:hanging="142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НДР, ДВР, "партия, возглавляемая С.Кириенко", и "Россия молодая" (Б.Немцов) – по 1% "голосов", остальные организации, представленные в списке (КРО, "Трудовая Россия" и т.д.), – менее 1%.</w:t>
      </w:r>
    </w:p>
    <w:p w:rsidR="00A4231A" w:rsidRDefault="00A4231A">
      <w:pPr>
        <w:spacing w:before="0" w:after="0"/>
        <w:ind w:firstLine="425"/>
        <w:rPr>
          <w:b/>
          <w:bCs/>
          <w:sz w:val="6"/>
          <w:szCs w:val="6"/>
        </w:rPr>
      </w:pPr>
    </w:p>
    <w:p w:rsidR="00A4231A" w:rsidRDefault="00A4231A">
      <w:pPr>
        <w:spacing w:before="0" w:after="0"/>
        <w:ind w:firstLine="425"/>
      </w:pPr>
      <w:r>
        <w:t>Несложные расчеты показывают, что 68-69% электората КПРФ, "Яблока" и "Отечества" – это избиратели, собирающиеся на президентских выборах поддерживать, соответственно, Г.Зюганова, Г.Явлинского и Ю.Лужкова. Электорат партии А.Лебедя в еще большей мере совпадает с его "президентским" электоратом: 76% респондентов, готовых голосовать за НРП, – сторонники избрания красноярского губернатора главой государства.</w:t>
      </w:r>
    </w:p>
    <w:p w:rsidR="00A4231A" w:rsidRDefault="00A4231A">
      <w:pPr>
        <w:spacing w:before="0" w:after="0"/>
        <w:ind w:firstLine="425"/>
      </w:pPr>
      <w:r>
        <w:t>Причем очевидно, что благосклонность респондентов к почти не известной в стране НРП и еще только формирующемуся "Отечеству" целиком определяется их отношением к красноярскому губернатору и московскому мэру, что престиж "Яблока" в значительной мере обусловлен авторитетом Г.Явлинского, и только КПРФ обладает "собственным" политическим весом, который скорее всего (впрочем, и это находится под вопросом) не снизится до ничтожно малого  в случае смены лидера.</w:t>
      </w:r>
    </w:p>
    <w:p w:rsidR="00A4231A" w:rsidRDefault="00A4231A">
      <w:pPr>
        <w:spacing w:before="0" w:after="0"/>
        <w:ind w:firstLine="425"/>
      </w:pPr>
      <w:r>
        <w:t>О том, что предстоящие парламентские выборы в значительной степени воспринимаются респондентами как квазипрезидентские, свидетельствует и стремительное падение престижа НДР.</w:t>
      </w:r>
    </w:p>
    <w:p w:rsidR="00A4231A" w:rsidRDefault="00A4231A">
      <w:pPr>
        <w:spacing w:before="0" w:after="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"Если бы выборы в Государственную Думу состоялись в ближайшее воскресенье, за какую партию, движение Вы проголосовали бы скорее всего?"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837"/>
        <w:gridCol w:w="1466"/>
        <w:gridCol w:w="1466"/>
        <w:gridCol w:w="1604"/>
        <w:gridCol w:w="1328"/>
      </w:tblGrid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18-19 апреля 1998 г.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29-30 августа1998 г.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31 октября – </w:t>
            </w:r>
          </w:p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 ноября 1998 г.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5-6 декабря 1998 г.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top w:val="nil"/>
              <w:bottom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Коммунистическая партия РФ (Г.Зюганов)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"Яблоко" (Г.Явлинский)</w:t>
            </w:r>
          </w:p>
        </w:tc>
        <w:tc>
          <w:tcPr>
            <w:tcW w:w="1466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6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"Отечество" (Ю.Лужков)</w:t>
            </w:r>
          </w:p>
        </w:tc>
        <w:tc>
          <w:tcPr>
            <w:tcW w:w="1466" w:type="dxa"/>
            <w:tcBorders>
              <w:top w:val="nil"/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1328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Народно-республиканская партия (А.Лебедь)</w:t>
            </w:r>
          </w:p>
        </w:tc>
        <w:tc>
          <w:tcPr>
            <w:tcW w:w="1466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Либерально-демократическая партия России (В.Жириновский)</w:t>
            </w:r>
          </w:p>
        </w:tc>
        <w:tc>
          <w:tcPr>
            <w:tcW w:w="1466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"Наш дом – Россия" (В.Черномырдин)</w:t>
            </w:r>
          </w:p>
        </w:tc>
        <w:tc>
          <w:tcPr>
            <w:tcW w:w="146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4231A" w:rsidRDefault="00A4231A">
      <w:pPr>
        <w:spacing w:after="0"/>
        <w:ind w:firstLine="425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i/>
          <w:iCs/>
          <w:sz w:val="24"/>
          <w:szCs w:val="24"/>
        </w:rPr>
        <w:t>Партия политического центризма (Ю.Лужков)</w:t>
      </w:r>
    </w:p>
    <w:p w:rsidR="00A4231A" w:rsidRDefault="00A4231A">
      <w:pPr>
        <w:spacing w:before="0" w:after="0"/>
        <w:ind w:firstLine="425"/>
        <w:rPr>
          <w:b/>
          <w:bCs/>
          <w:sz w:val="8"/>
          <w:szCs w:val="8"/>
        </w:rPr>
      </w:pPr>
    </w:p>
    <w:p w:rsidR="00A4231A" w:rsidRDefault="00A4231A">
      <w:pPr>
        <w:spacing w:before="0" w:after="0"/>
        <w:ind w:firstLine="425"/>
      </w:pPr>
      <w:r>
        <w:t>Фракция НДР в действующей Думе остается достаточно влиятельной политической силой: ее деятельность широко освещается СМИ, – и очевидно, что превращение "Нашего дома" из одного из фаворитов парламентской кампании в аутсайдера, едва ли имеющего серьезные шансы на преодоление 5%-го барьера, ни в коей мере не объясняется разочарованием бывших сторонников НДР в деятельности представителей этой партии в парламенте. Но если к началу осени В.Черномырдин еще воспринимался обществом как более или менее перспективный кандидат в президенты, то сейчас его президентские амбиции выглядят явно неубедительно. Именно поэтому избиратели отвернулись от возглавляемого им движения. Можно предположить, что значительная часть "исчезнувшего" электората НДР перешла на сторону партии Ю.Лужкова.</w:t>
      </w:r>
    </w:p>
    <w:p w:rsidR="00A4231A" w:rsidRDefault="00A4231A">
      <w:pPr>
        <w:spacing w:before="0" w:after="0"/>
        <w:ind w:firstLine="425"/>
      </w:pPr>
      <w:r>
        <w:t>Не исключено, что и заметное снижение рейтинга ЛДПР в какой-то мере обусловлено квазипрезидентским характером предстоящих выборов: В.Жи</w:t>
      </w:r>
      <w:r>
        <w:softHyphen/>
        <w:t>ри</w:t>
      </w:r>
      <w:r>
        <w:softHyphen/>
        <w:t>новс</w:t>
      </w:r>
      <w:r>
        <w:softHyphen/>
        <w:t>кий в последнее время ведет себя как политик, не помышляющий об участии в следующих президентских выборах. Едва ли он откажет себе в подобном удовольствии, но, во всяком случае, его действия и высказывания – в отличие от действий и высказываний Г.Зюганова, А.Лебедя и других фаворитов – не интерпретируются СМИ в контексте подготовки к этим выборам. И, что не менее важно, лидер ЛДПР уже явно не котируется как претендент, имеющий реальные шансы на успех.</w:t>
      </w:r>
    </w:p>
    <w:p w:rsidR="00A4231A" w:rsidRDefault="00A4231A">
      <w:pPr>
        <w:spacing w:before="0" w:after="0"/>
        <w:ind w:firstLine="425"/>
      </w:pPr>
      <w:r>
        <w:t>Опрос свидетельствует о крайней слабости позиций либерального лагеря: если бы в выборах участвовали четыре правые партии, возглавляемые Е.Гайдаром, С.Кириенко, Б.Немцовым и А.Чубайсом, они могли бы рассчитывать в совокупности на 2,5% голосов. Пятью неделями ранее в гипотетический перечень участников парламентских выборов были включены две организации, представляющие эту политическую "семью": ДВР и "Россия молодая" (С.Ки</w:t>
      </w:r>
      <w:r>
        <w:softHyphen/>
      </w:r>
      <w:r>
        <w:softHyphen/>
        <w:t>риенко, Б.Немцов, Б.Федоров, И.Хакамада) – получившие, соответственно, 1% и 4% "голосов". Трудно сказать, чем объясняется снижение общего рейтинга правых: "изъятием" имен Б.Федорова и И.Хакамады, неспособностью респондентов с либеральными взглядами предпочесть одну из нескольких "родственных" организаций другим или чем-то еще.</w:t>
      </w:r>
    </w:p>
    <w:p w:rsidR="00A4231A" w:rsidRDefault="00A4231A">
      <w:pPr>
        <w:spacing w:before="0" w:after="0"/>
        <w:ind w:firstLine="425"/>
      </w:pPr>
      <w:r>
        <w:t>Однако следует отметить, что и леворадикальная "Трудовая Россия" В.Ан</w:t>
      </w:r>
      <w:r>
        <w:softHyphen/>
        <w:t>пи</w:t>
      </w:r>
      <w:r>
        <w:softHyphen/>
        <w:t>лова, и "розовая" ПСТ Св.Федорова, и умеренно националистический КРО Д.Рогозина, в 1995 г. вплотную приблизившиеся, как и ДВР, к пятипроцентному барьеру, получили сейчас всего лишь по 0.2-0.3% "голосов". И если столь разные по политической окраске организации демонстрируют одинаково жалкие "промежуточные" результаты, то естественно предположить, что их неудачи имеют, помимо индивидуальных, специфических, и общие причины. Важнейшей из них представляется именно то, что лидеры данных организаций не котируются в качестве серьезных претендентов на президентский пост.</w:t>
      </w:r>
    </w:p>
    <w:p w:rsidR="00A4231A" w:rsidRDefault="00A4231A">
      <w:pPr>
        <w:pStyle w:val="Heading2"/>
        <w:rPr>
          <w:b w:val="0"/>
          <w:bCs w:val="0"/>
        </w:rPr>
      </w:pPr>
      <w:r>
        <w:t xml:space="preserve">Спектр привлекательности партий </w:t>
      </w:r>
      <w:r>
        <w:rPr>
          <w:lang w:val="ru-RU"/>
        </w:rPr>
        <w:br/>
      </w:r>
      <w:r>
        <w:rPr>
          <w:b w:val="0"/>
          <w:bCs w:val="0"/>
        </w:rPr>
        <w:t>(опрос 31 октября – 1 ноября)</w:t>
      </w:r>
    </w:p>
    <w:p w:rsidR="00A4231A" w:rsidRDefault="00A4231A">
      <w:pPr>
        <w:spacing w:before="0" w:after="0"/>
        <w:ind w:firstLine="425"/>
      </w:pPr>
      <w:r>
        <w:t xml:space="preserve">Как явствует из приведенных ниже данных, дистанция между четырьмя фаворитами парламентских выборов, с одной стороны, и прочими потенциальными участниками этих выборов – с другой, резко "сокращается", когда вопрос о политических симпатиях респондентов ставится не в плоскости выявления их электоральных намерений, а "мягче": когда речь заходит о том, какие партии они хотели бы видеть представленными в Думе.  </w:t>
      </w:r>
    </w:p>
    <w:p w:rsidR="00A4231A" w:rsidRDefault="00A4231A">
      <w:pPr>
        <w:spacing w:before="0" w:after="0"/>
        <w:ind w:firstLine="425"/>
      </w:pPr>
      <w:r>
        <w:br w:type="page"/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560"/>
        <w:gridCol w:w="2050"/>
        <w:gridCol w:w="2092"/>
      </w:tblGrid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Представителей каких из перечисленных партий Вы бы хотели видеть в Государственной Думе? (любое число ответов)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Если бы выборы </w:t>
            </w:r>
            <w:r>
              <w:rPr>
                <w:color w:val="008000"/>
                <w:sz w:val="22"/>
                <w:szCs w:val="22"/>
              </w:rPr>
              <w:br/>
              <w:t xml:space="preserve">в Государственную Думу состоялись </w:t>
            </w:r>
            <w:r>
              <w:rPr>
                <w:color w:val="008000"/>
                <w:sz w:val="22"/>
                <w:szCs w:val="22"/>
              </w:rPr>
              <w:br/>
              <w:t>в ближайшее воскресенье, за какую партию, движение Вы бы проголосовали скорее всего?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Коммунистическая партия РФ (Г.Зюганов)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"Яблоко" (Г.Явлинский)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Партия политического центризма (Ю.Лужков)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Народно-республиканская партия (А.Лебедь)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"Россия молодая" (С.Кириенко, Б.Немцов, Б.Федоров, И.Хакамада)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Движение "Женщины России" (Е.Лахова)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Аграрная партия (М.Лапшин)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Партия самоуправления трудящихся (Св.Федоров)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11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Либерально-демократическая партия России (В.Жириновский)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4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"Народовластие" (Н.Рыжков)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"Наш дом – Россия" (В.Черномырдин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Демократический выбор России (Е.Гайдар)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"Трудовая Россия" (В.Анпилов)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Русское национальное единство (А.Баркашов)</w:t>
            </w:r>
          </w:p>
        </w:tc>
        <w:tc>
          <w:tcPr>
            <w:tcW w:w="2050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Конгресс русских общин (Д.Рогозин)</w:t>
            </w:r>
          </w:p>
        </w:tc>
        <w:tc>
          <w:tcPr>
            <w:tcW w:w="205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231A" w:rsidRDefault="00A4231A">
      <w:pPr>
        <w:spacing w:before="0" w:after="0"/>
        <w:ind w:firstLine="425"/>
      </w:pPr>
    </w:p>
    <w:p w:rsidR="00A4231A" w:rsidRDefault="00A4231A">
      <w:pPr>
        <w:spacing w:before="0" w:after="0"/>
        <w:ind w:firstLine="425"/>
      </w:pPr>
      <w:r>
        <w:t>Так, соотношение между электоратом КПРФ и кругом избирателей, считающих присутствие коммунистической фракции в Думе желательным, составляет 2:3, а для "Яблока" и партии А.Лебедя этот показатель – 1:2 (для партии Ю.Лужкова – чуть ниже, но следует учесть, что к моменту проведения данного опроса идея её создания была только лишь обнародована, а условное название выглядело достаточно нелепо). Доля же электората либеральной коалиции, женского блока, аграриев, партии Св.Федорова и т.д. в "массиве" респондентов, симпатизирующих этим политическим силам, варьируется в пределах от 8% до 25%. Что касается несколько более благоприятных показателей электоральной поддержки ЛДПР и НДР, то эти данные,  как уже отмечалось, успели устареть: сейчас число избирателей, намеренных голосовать за них, заметно сократилось.</w:t>
      </w:r>
    </w:p>
    <w:p w:rsidR="00A4231A" w:rsidRDefault="00A4231A">
      <w:pPr>
        <w:spacing w:before="0" w:after="0"/>
        <w:ind w:firstLine="425"/>
      </w:pPr>
      <w:r>
        <w:t>Таким образом, избиратель, благожелательно относящийся к нескольким политическим организациям более или менее близкой ориентации (либералов чаще всего хотят видеть в Думе респонденты, составляющие электорат Г.Явлинского, аграриев – сторонники Г.Зюганова, партию Св.Федорова и женский блок – приверженцы Ю.Лужкова и т.д.), свой собственный голос предпочитает отдавать за те партии, лидеры которых уже давно "переминаются" на старте президентской кампании.</w:t>
      </w:r>
    </w:p>
    <w:p w:rsidR="00A4231A" w:rsidRDefault="00A4231A">
      <w:pPr>
        <w:spacing w:before="0" w:after="0"/>
        <w:ind w:firstLine="425"/>
      </w:pPr>
      <w:r>
        <w:t xml:space="preserve">Столь ощутимое превосходство этих партий представляется вполне естественным. Формированию устойчивых партийных предпочтений препятствует как изобилие партий и политических движений, так и то, что почти все они пребывают в процессе перманентной реорганизации. Относительно стабильными и, вместе с тем, влиятельными политическими организациями являются только КПРФ и "Яблоко", которые удерживают в своих орбитах чуть более 1/3 избирателей. Неудивительно поэтому, что весьма внушительный электорат такого, например, движения, как "Отечество", может сформироваться буквально в считанные дни. </w:t>
      </w:r>
    </w:p>
    <w:p w:rsidR="00A4231A" w:rsidRDefault="00A4231A">
      <w:pPr>
        <w:pStyle w:val="Heading2"/>
      </w:pPr>
      <w:r>
        <w:t>Информированность избирателей: миф или реальность?</w:t>
      </w:r>
    </w:p>
    <w:p w:rsidR="00A4231A" w:rsidRDefault="00A4231A">
      <w:pPr>
        <w:spacing w:before="0" w:after="0"/>
        <w:ind w:firstLine="425"/>
      </w:pPr>
      <w:r>
        <w:t xml:space="preserve">Столь высокая мобильность электоральных предпочтений  обусловлена не только своеобразием российской партийно-политической жизни, но и уровнем политической осведомленности и ангажированности избирателя. </w:t>
      </w:r>
    </w:p>
    <w:p w:rsidR="00A4231A" w:rsidRDefault="00A4231A">
      <w:pPr>
        <w:spacing w:before="0" w:after="0"/>
        <w:ind w:firstLine="425"/>
      </w:pPr>
      <w:r>
        <w:t xml:space="preserve">Чуть менее пятой части респондентов (18%) вообще не помнят, участвовали ли они в предыдущих парламентских выборах, и около 1/3 опрошенных, определенно посетивших в декабре 1995 г. избирательные участки, забыли, за какую партию они тогда голосовали. Причем среди респондентов, которые отдали свои голоса за партии и блоки, не прошедшие, в конечном итоге, в Думу, такую забывчивость демонстрирует уже абсолютное большинство. </w:t>
      </w:r>
    </w:p>
    <w:p w:rsidR="00A4231A" w:rsidRDefault="00A4231A">
      <w:pPr>
        <w:spacing w:before="0" w:after="0"/>
        <w:ind w:firstLine="425"/>
      </w:pPr>
      <w:r>
        <w:t>Следует отметить, кроме того, что "среднестатистический" российский избиратель не имеет ни малейшего представления о работе депутата, представляющего в Думе его территориальный округ.</w:t>
      </w:r>
    </w:p>
    <w:p w:rsidR="00A4231A" w:rsidRDefault="00A4231A">
      <w:pPr>
        <w:spacing w:before="0" w:after="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 xml:space="preserve">Вопрос: "Знаете ли Вы, что-то слышали или ничего не знаете о работе в Госдуме депутата от Вашего территориального округа?" 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984"/>
        <w:gridCol w:w="6"/>
        <w:gridCol w:w="703"/>
        <w:gridCol w:w="6"/>
        <w:gridCol w:w="1553"/>
        <w:gridCol w:w="1418"/>
        <w:gridCol w:w="1178"/>
        <w:gridCol w:w="1101"/>
        <w:gridCol w:w="752"/>
      </w:tblGrid>
      <w:tr w:rsidR="00A4231A">
        <w:tblPrEx>
          <w:tblCellMar>
            <w:top w:w="0" w:type="dxa"/>
            <w:bottom w:w="0" w:type="dxa"/>
          </w:tblCellMar>
        </w:tblPrEx>
        <w:tc>
          <w:tcPr>
            <w:tcW w:w="299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60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Тип места жительства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Москва + СПб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мегаполисы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большие города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малые города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село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что-то слышал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ничего не знаю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2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8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01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52" w:type="dxa"/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4231A" w:rsidRDefault="00A4231A">
      <w:pPr>
        <w:spacing w:before="0" w:after="0"/>
        <w:ind w:firstLine="425"/>
        <w:rPr>
          <w:b/>
          <w:bCs/>
        </w:rPr>
      </w:pPr>
    </w:p>
    <w:p w:rsidR="00A4231A" w:rsidRDefault="00A4231A">
      <w:pPr>
        <w:spacing w:before="0" w:after="0"/>
        <w:ind w:firstLine="425"/>
      </w:pPr>
      <w:r>
        <w:t>Причем особой неосведомленностью в этом отношении отличаются обитатели Москвы и Петербурга – и это несмотря на то, что столичные жители, как правило, демонстрируют сравнительно высокий интерес к политике, а их думские представители значительно чаще появляются на телеэкранах, чем депутаты из других регионов.</w:t>
      </w:r>
    </w:p>
    <w:p w:rsidR="00A4231A" w:rsidRDefault="00A4231A">
      <w:pPr>
        <w:spacing w:before="0" w:after="0"/>
        <w:ind w:firstLine="425"/>
      </w:pPr>
      <w:r>
        <w:t>Кстати, те немногие, кто что-либо знает о депутатской деятельности своих представителей, несколько чаще выражают удовлетворение (9%), чем неудовлетворение (7%) их работой. Возможно, это означает, что большая информированность избирателей о депутатских трудах повысила бы престиж Думы в целом. Но не исключено и иное: может быть, некоторой известностью у избирателей пользуются как раз те депутаты, которые имеют больше оснований претендовать на их признательность, чем другие.</w:t>
      </w:r>
    </w:p>
    <w:p w:rsidR="00A4231A" w:rsidRDefault="00A4231A">
      <w:pPr>
        <w:spacing w:before="0" w:after="0"/>
        <w:ind w:firstLine="425"/>
      </w:pPr>
      <w:r>
        <w:t xml:space="preserve">Естественно, что избиратель, не имеющий устойчивых партийных привязанностей и, вместе с тем, весьма поверхностно осведомленный о деятельности Думы, принимает решение о том, как распорядиться собственным голосом, руководствуясь, преимущественно, своими симпатиями и антипатиями в отношении наиболее заметных персонажей российской политической сцены. </w:t>
      </w:r>
    </w:p>
    <w:p w:rsidR="00A4231A" w:rsidRDefault="00A4231A">
      <w:pPr>
        <w:spacing w:before="0" w:after="0"/>
        <w:ind w:left="426" w:firstLine="425"/>
        <w:rPr>
          <w:b/>
          <w:bCs/>
          <w:i/>
          <w:iCs/>
        </w:rPr>
      </w:pPr>
      <w:r>
        <w:rPr>
          <w:b/>
          <w:bCs/>
          <w:i/>
          <w:iCs/>
        </w:rPr>
        <w:t xml:space="preserve">Не подлежит сомнению тот факт, что даже если парламентские и президентские выборы состоятся в срок, партиям и движениям, чьи лидеры не являются фаворитами президентской гонки, будет очень сложно преодолеть пятипроцентный барьер. Если же будет реализована периодически обсуждаемая идея об одновременном проведении парламентских и президентских выборов, то вероятность прохождения в Думу таких партий и движений станет совсем ничтожной. И в любом случае ясно, что доминировать в следующей Думе будут политические организации, возглавляемые четверкой основных претендентов на президентский пост. </w:t>
      </w:r>
    </w:p>
    <w:p w:rsidR="00A4231A" w:rsidRDefault="00A4231A">
      <w:pPr>
        <w:spacing w:before="0" w:after="0"/>
        <w:ind w:left="426" w:firstLine="425"/>
        <w:rPr>
          <w:b/>
          <w:bCs/>
          <w:i/>
          <w:iCs/>
        </w:rPr>
      </w:pPr>
      <w:r>
        <w:rPr>
          <w:b/>
          <w:bCs/>
          <w:i/>
          <w:iCs/>
        </w:rPr>
        <w:t xml:space="preserve">В этом, объективно говоря, есть как положительные, так и отрицательные стороны. С одной стороны, квазипрезидентский характер парламентских выборов ставит довольно высокий барьер на пути экстремистских политических организаций, с другой – препятствует адекватному представительству в Думе  серьезных политических структур, не имеющих харизматических вождей, что, естественно, тормозит развитие "полноценного" парламентаризма. </w:t>
      </w:r>
    </w:p>
    <w:p w:rsidR="00A4231A" w:rsidRDefault="00A4231A">
      <w:pPr>
        <w:pStyle w:val="Heading1"/>
        <w:spacing w:before="200" w:after="200"/>
      </w:pPr>
      <w:r>
        <w:br w:type="page"/>
        <w:t xml:space="preserve">2. Сценарий политического самоубийства </w:t>
      </w:r>
      <w:r>
        <w:br/>
        <w:t>для Г.Явлинского</w:t>
      </w:r>
      <w:r>
        <w:rPr>
          <w:rStyle w:val="FootnoteReference"/>
        </w:rPr>
        <w:footnoteReference w:id="3"/>
      </w:r>
    </w:p>
    <w:p w:rsidR="00A4231A" w:rsidRDefault="00A4231A">
      <w:pPr>
        <w:spacing w:before="0" w:after="0"/>
        <w:ind w:firstLine="425"/>
      </w:pPr>
      <w:r>
        <w:t xml:space="preserve">Результаты опроса со всей определенностью свидетельствуют о том, что согласие Г.Явлинского на союз с ультралибералами означало бы для него политическое харакири. </w:t>
      </w:r>
    </w:p>
    <w:p w:rsidR="00A4231A" w:rsidRDefault="00A4231A">
      <w:pPr>
        <w:spacing w:before="0" w:after="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"Скажите, пожалуйста, Ваше отношение к Г.Явлинскому улучшится, ухудшится или не изменится, если он станет политическим союзником...?"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A4231A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...Е.Гайдара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...С.Кириенко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...Ю.Лужкова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...Б.Немцова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...А.Чубайса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41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68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05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10" w:type="dxa"/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4231A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A4231A" w:rsidRDefault="00A4231A">
            <w:pPr>
              <w:spacing w:before="16" w:after="1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4231A" w:rsidRDefault="00A4231A">
      <w:pPr>
        <w:spacing w:before="0" w:after="0"/>
        <w:ind w:firstLine="425"/>
      </w:pPr>
      <w:r>
        <w:t>Объединение лидера "Яблока" в один блок с Е.Гайдаром, Б.Немцовым или А.Чубайсом вызвало бы негативную реакцию у респондентов, придерживающихся самых разных политических ориентаций. Следует отметить, что Г.Яв</w:t>
      </w:r>
      <w:r>
        <w:softHyphen/>
      </w:r>
      <w:r>
        <w:softHyphen/>
        <w:t>линский располагает определенным кредитом доверия у приверженцев всех потенциальных претендентов на президентский пост, включая "протест</w:t>
      </w:r>
      <w:r>
        <w:softHyphen/>
        <w:t>ный" электорат Г.Зюганова и А.Лебедя. По данным опроса, проведенного полто</w:t>
      </w:r>
      <w:r>
        <w:softHyphen/>
      </w:r>
      <w:r>
        <w:softHyphen/>
        <w:t>ра месяца назад, за то, чтобы "Яблоко" было представлено в следующей Ду</w:t>
      </w:r>
      <w:r>
        <w:softHyphen/>
      </w:r>
      <w:r>
        <w:softHyphen/>
        <w:t>ме, высказывается не только каждый третий сторонник Ю.Лужкова и Е.При</w:t>
      </w:r>
      <w:r>
        <w:softHyphen/>
        <w:t>ма</w:t>
      </w:r>
      <w:r>
        <w:softHyphen/>
      </w:r>
      <w:r>
        <w:softHyphen/>
        <w:t>кова, но и 28% сторонников красноярского губернатора, а также 13% респон</w:t>
      </w:r>
      <w:r>
        <w:softHyphen/>
        <w:t>дентов, намеревающихся на президентских выборах голосовать за Г.Зю</w:t>
      </w:r>
      <w:r>
        <w:softHyphen/>
      </w:r>
      <w:r>
        <w:softHyphen/>
        <w:t xml:space="preserve">ганова. </w:t>
      </w:r>
    </w:p>
    <w:p w:rsidR="00A4231A" w:rsidRDefault="00A4231A">
      <w:pPr>
        <w:spacing w:before="0" w:after="0"/>
        <w:ind w:firstLine="425"/>
      </w:pPr>
      <w:r>
        <w:t xml:space="preserve">Причем такой кредит доверия может реально усилить позиции "Яблока" на парламентских выборах: сейчас за партию готовы проголосовать 3% сторонников Г.Зюганова, 5% – А.Лебедя, 6% – Ю.Лужкова и 7% – Е.Примакова. Очевидно, что эта поддержка резко сократилась бы, если бы Г.Явлинский пошел на альянс с Е.Гайдаром и его партнерами. </w:t>
      </w:r>
    </w:p>
    <w:p w:rsidR="00A4231A" w:rsidRDefault="00A4231A">
      <w:pPr>
        <w:spacing w:before="0" w:after="0"/>
        <w:ind w:firstLine="425"/>
      </w:pPr>
      <w:r>
        <w:t xml:space="preserve">Но, может быть, важнее иное: сторонники самого Г.Явлинского высказываются против союза с ними с еще большей определенностью, чем респонденты в целом. Причем 2/3 приверженцев лидера "Яблока" заявляют, что их отношение к нему ухудшится, если он вступит в союз с А.Чубайсом. Очевидно, что предполагаемое партнерство с Е.Гайдаром или Б.Немцовым, воспринимаемое сторонниками Г.Явлинского несколько менее болезненно, на практике означало бы сотрудничество со структурой, в которой А.Чубайс играл бы одну из ключевых ролей. </w:t>
      </w:r>
    </w:p>
    <w:p w:rsidR="00A4231A" w:rsidRDefault="00A4231A">
      <w:pPr>
        <w:spacing w:before="0" w:after="0" w:line="440" w:lineRule="exact"/>
        <w:ind w:firstLine="425"/>
      </w:pPr>
      <w:r>
        <w:t>Следует отметить, что даже в Москве и Петербурге, где идея "кон</w:t>
      </w:r>
      <w:r>
        <w:softHyphen/>
        <w:t>со</w:t>
      </w:r>
      <w:r>
        <w:softHyphen/>
        <w:t>ли</w:t>
      </w:r>
      <w:r>
        <w:softHyphen/>
        <w:t>да</w:t>
      </w:r>
      <w:r>
        <w:softHyphen/>
        <w:t>ции демократических сил" пользуется повышенной по</w:t>
      </w:r>
      <w:r>
        <w:softHyphen/>
      </w:r>
      <w:r>
        <w:softHyphen/>
        <w:t>пулярностью, согласие Г.Явлинского на альянс с Е.Гайдаром одобрили бы лишь 10%, с Б.Немцовым – 7%, а с А.Чубайсом – 5% опрошенных, тогда как осу</w:t>
      </w:r>
      <w:r>
        <w:softHyphen/>
        <w:t>дили бы в первом и втором случаях – 36%, а в последнем – 50% респондентов.</w:t>
      </w:r>
    </w:p>
    <w:p w:rsidR="00A4231A" w:rsidRDefault="00A4231A">
      <w:pPr>
        <w:spacing w:before="0" w:after="0" w:line="440" w:lineRule="exact"/>
        <w:ind w:firstLine="425"/>
      </w:pPr>
      <w:r>
        <w:t>Приведенные данные заставляют даже предположить, что та решительность, с которой лидер "Яблока" в последние недели уклонялся от "объятий" ультралибералов, поспособствовала укреплению его политических позиций, выразившемуся в росте "президентского" рейтинга с 9% до 13%. Ведь оппоненты Г.Явлинского как справа, так и слева постоянно утверждают, что он принадлежит к одной политической "семье" с Е.Гайдаром и А.Чубайсом, и что его противоречия с последними не являются принципиальными, а обусловлены исключительно личными политическими амбициями. Вероятно, часть избирателей, достаточно благосклонно относящихся к лидеру "Яблока", но не питающих симпатий в отношении лидеров ДВР, воспринимает эти утверждения с доверием и именно поэтому остерегается ориентироваться на Г.Явлинского как на кандидата в президенты – "от греха подальше". Недвусмысленный отказ последнего от какого бы то ни было "братания" с сомнительными для него политическими партнерами должен, в этом случае, принести ему определенные политические дивиденды.</w:t>
      </w:r>
    </w:p>
    <w:p w:rsidR="00A4231A" w:rsidRDefault="00A4231A">
      <w:pPr>
        <w:spacing w:before="0" w:after="0" w:line="440" w:lineRule="exact"/>
        <w:ind w:firstLine="425"/>
      </w:pPr>
      <w:r>
        <w:t>Лозунг "консолидации демократических сил" использовался ультралибералами для дискредитации Г.Явлинского (как главного "раскольника") с 1993 г., и такая тактика "удушения в объятиях" временами оказывалась более или менее эффективной. Но сейчас ситуация, похоже, изменилась, и именно позиция лидера "Яблока" оказывается политически рентабельной.</w:t>
      </w:r>
    </w:p>
    <w:p w:rsidR="00A4231A" w:rsidRDefault="00A4231A">
      <w:pPr>
        <w:spacing w:before="0" w:after="0" w:line="440" w:lineRule="exact"/>
        <w:ind w:firstLine="425"/>
      </w:pPr>
      <w:r>
        <w:t>Возможный альянс с С.Кириенко расценивается респондентами скорее негативно, чем позитивно, но явно не способен дискредитировать Г.Явлинского так же сильно, как союз с лидерами ДВР. Этот факт, однако, важен не столько с точки зрения перспектив подобного союза, сколько в плане понимания политических перспектив самого экс-премьера. В одном из недавних опросов, кстати, 12% респондентов заявили, что их отношение к Е.Примакову улучшилось бы, если бы он "стал политическим союзником" С.Кириенко. Вероятно, последний является наиболее перспективным политиком, способным консолидировать электорат "справа от Г.Явлинского".</w:t>
      </w:r>
    </w:p>
    <w:p w:rsidR="00A4231A" w:rsidRDefault="00A4231A">
      <w:pPr>
        <w:spacing w:before="0" w:after="0" w:line="440" w:lineRule="exact"/>
        <w:ind w:firstLine="425"/>
        <w:rPr>
          <w:b/>
          <w:bCs/>
          <w:i/>
          <w:iCs/>
        </w:rPr>
      </w:pPr>
      <w:r>
        <w:t>Отношение избирателей к лидеру "Яблока" улучшилось бы, если бы он стал союзником московского мэра. Очевидно, однако, что в данном случае речь может идти о союзе принципиально другого типа. И на практике эта идея сможет реализоваться не скоро – не ранее подведения итогов первого тура очередных президентских выборов, если называть вещи своими именами. Однако можно предположить, что взаимное уважение, подчеркнуто демонстрируемое в последнее время Ю.Лужковым и Г.Явлинским, приносит определенные политические дивиденды обоим.</w:t>
      </w:r>
    </w:p>
    <w:sectPr w:rsidR="00A4231A" w:rsidSect="00A4231A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1A" w:rsidRDefault="00A4231A">
      <w:r>
        <w:separator/>
      </w:r>
    </w:p>
  </w:endnote>
  <w:endnote w:type="continuationSeparator" w:id="1">
    <w:p w:rsidR="00A4231A" w:rsidRDefault="00A4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1A" w:rsidRDefault="00A4231A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33 (448)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12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12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1A" w:rsidRDefault="00A4231A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33 (448)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12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A4231A" w:rsidRDefault="00A42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1A" w:rsidRDefault="00A4231A">
      <w:r>
        <w:separator/>
      </w:r>
    </w:p>
  </w:footnote>
  <w:footnote w:type="continuationSeparator" w:id="1">
    <w:p w:rsidR="00A4231A" w:rsidRDefault="00A4231A">
      <w:r>
        <w:continuationSeparator/>
      </w:r>
    </w:p>
  </w:footnote>
  <w:footnote w:id="2">
    <w:p w:rsidR="00A4231A" w:rsidRDefault="00A4231A">
      <w:pPr>
        <w:pStyle w:val="FootnoteText"/>
      </w:pPr>
      <w:r>
        <w:rPr>
          <w:rStyle w:val="FootnoteReference"/>
        </w:rPr>
        <w:footnoteRef/>
      </w:r>
      <w:r>
        <w:t xml:space="preserve"> Общероссийские</w:t>
      </w:r>
      <w:r>
        <w:rPr>
          <w:lang w:val="en-US"/>
        </w:rPr>
        <w:t xml:space="preserve"> </w:t>
      </w:r>
      <w:r>
        <w:t xml:space="preserve">опросы населения по репрезентативной выборке в </w:t>
      </w:r>
      <w:r>
        <w:rPr>
          <w:b/>
          <w:bCs/>
        </w:rPr>
        <w:t>56</w:t>
      </w:r>
      <w:r>
        <w:t xml:space="preserve"> населенных пунктах </w:t>
      </w:r>
      <w:r>
        <w:rPr>
          <w:b/>
          <w:bCs/>
        </w:rPr>
        <w:t>29</w:t>
      </w:r>
      <w:r>
        <w:t xml:space="preserve"> областей, краев и республик всех экономико-географических зон России. Интервью по месту жительства. Объем выборки в каждом опросе</w:t>
      </w:r>
      <w:r>
        <w:rPr>
          <w:b/>
          <w:bCs/>
        </w:rPr>
        <w:t xml:space="preserve"> – 1500 </w:t>
      </w:r>
      <w:r>
        <w:t xml:space="preserve">респондентов. Опросы проводились </w:t>
      </w:r>
      <w:r>
        <w:rPr>
          <w:b/>
          <w:bCs/>
          <w:lang w:val="en-US"/>
        </w:rPr>
        <w:t xml:space="preserve">31 </w:t>
      </w:r>
      <w:r>
        <w:rPr>
          <w:b/>
          <w:bCs/>
        </w:rPr>
        <w:t>октября – 1 ноября</w:t>
      </w:r>
      <w:r>
        <w:t xml:space="preserve"> и </w:t>
      </w:r>
      <w:r>
        <w:rPr>
          <w:b/>
          <w:bCs/>
        </w:rPr>
        <w:t>5-6 декабря</w:t>
      </w:r>
      <w:r>
        <w:t xml:space="preserve"> 1998 года.</w:t>
      </w:r>
    </w:p>
  </w:footnote>
  <w:footnote w:id="3">
    <w:p w:rsidR="00A4231A" w:rsidRDefault="00A4231A">
      <w:pPr>
        <w:pStyle w:val="FootnoteText"/>
      </w:pPr>
      <w:r>
        <w:rPr>
          <w:rStyle w:val="FootnoteReference"/>
        </w:rPr>
        <w:footnoteRef/>
      </w:r>
      <w:r>
        <w:t xml:space="preserve"> Общероссийский</w:t>
      </w:r>
      <w:r>
        <w:rPr>
          <w:lang w:val="en-US"/>
        </w:rPr>
        <w:t xml:space="preserve"> </w:t>
      </w:r>
      <w:r>
        <w:t xml:space="preserve">опрос населения по репрезентативной выборке в </w:t>
      </w:r>
      <w:r>
        <w:rPr>
          <w:b/>
          <w:bCs/>
        </w:rPr>
        <w:t>56</w:t>
      </w:r>
      <w:r>
        <w:t xml:space="preserve"> населенных пунктах </w:t>
      </w:r>
      <w:r>
        <w:rPr>
          <w:b/>
          <w:bCs/>
        </w:rPr>
        <w:t>29</w:t>
      </w:r>
      <w:r>
        <w:t xml:space="preserve"> областей, краев и республик всех экономико-географических зон России. Интервью по месту жительства. Объем выборки в каждом опросе</w:t>
      </w:r>
      <w:r>
        <w:rPr>
          <w:b/>
          <w:bCs/>
        </w:rPr>
        <w:t xml:space="preserve"> – 1500 </w:t>
      </w:r>
      <w:r>
        <w:t xml:space="preserve">респондентов. Опрос проводился </w:t>
      </w:r>
      <w:r>
        <w:rPr>
          <w:b/>
          <w:bCs/>
        </w:rPr>
        <w:t>5-6 декабря</w:t>
      </w:r>
      <w:r>
        <w:t xml:space="preserve"> 1998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94"/>
    <w:rsid w:val="00863494"/>
    <w:rsid w:val="00A4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00"/>
      <w:ind w:firstLine="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7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7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7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7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7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7E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7E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7E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7E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7EC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07EC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7E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13</Pages>
  <Words>2683</Words>
  <Characters>15298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1998-12-16T17:43:00Z</cp:lastPrinted>
  <dcterms:created xsi:type="dcterms:W3CDTF">2017-08-01T18:05:00Z</dcterms:created>
  <dcterms:modified xsi:type="dcterms:W3CDTF">2017-08-01T18:05:00Z</dcterms:modified>
</cp:coreProperties>
</file>