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A7" w:rsidRDefault="00F17DA7">
      <w:pPr>
        <w:framePr w:w="6061" w:h="426" w:hSpace="180" w:wrap="auto" w:vAnchor="text" w:hAnchor="page" w:x="3406" w:y="126"/>
        <w:widowControl w:val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left:0;text-align:left;flip:x y;z-index:251652608" from="299.95pt,11.9pt" to="376.55pt,13.3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7" style="position:absolute;left:0;text-align:left;margin-left:-.5pt;margin-top:30.45pt;width:308.8pt;height:43.4pt;z-index:251662848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F17DA7" w:rsidRDefault="00F17DA7">
                  <w:pPr>
                    <w:spacing w:after="120"/>
                    <w:ind w:firstLine="0"/>
                    <w:jc w:val="center"/>
                    <w:rPr>
                      <w:rFonts w:ascii="AdverGothic Cyr" w:hAnsi="AdverGothic Cyr" w:cs="AdverGothic Cyr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>Фонд “Общественное мнение”</w:t>
      </w:r>
    </w:p>
    <w:p w:rsidR="00F17DA7" w:rsidRDefault="00F17DA7">
      <w:pPr>
        <w:widowControl w:val="0"/>
      </w:pPr>
      <w:r>
        <w:rPr>
          <w:noProof/>
        </w:rPr>
        <w:pict>
          <v:rect id="_x0000_s1028" style="position:absolute;left:0;text-align:left;margin-left:418.45pt;margin-top:-10.55pt;width:85.65pt;height:72.05pt;z-index:251661824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F17DA7" w:rsidRDefault="00F17DA7">
                  <w:pPr>
                    <w:spacing w:after="20"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декабря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1998</w:t>
                  </w:r>
                </w:p>
                <w:p w:rsidR="00F17DA7" w:rsidRDefault="00F17DA7">
                  <w:pPr>
                    <w:spacing w:before="0" w:after="120" w:line="240" w:lineRule="auto"/>
                    <w:ind w:firstLine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20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43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5)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left:0;text-align:left;margin-left:8.15pt;margin-top:15.4pt;width:381.65pt;height:136.95pt;z-index:-251664896" o:allowincell="f" fillcolor="lime" stroked="f" strokecolor="white" strokeweight="6pt">
            <v:fill r:id="rId6" o:title="" type="pattern"/>
          </v:oval>
        </w:pict>
      </w:r>
      <w:r>
        <w:rPr>
          <w:noProof/>
        </w:rPr>
        <w:pict>
          <v:line id="_x0000_s1030" style="position:absolute;left:0;text-align:left;z-index:251654656" from="445.8pt,22.7pt" to="512.3pt,22.75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noProof/>
        </w:rPr>
        <w:pict>
          <v:roundrect id="_x0000_s1031" style="position:absolute;left:0;text-align:left;margin-left:44.15pt;margin-top:63.8pt;width:280.85pt;height:75.6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F17DA7" w:rsidRDefault="00F17DA7">
                  <w:pPr>
                    <w:spacing w:before="180"/>
                    <w:ind w:firstLine="0"/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 xml:space="preserve">Обзор опросов 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br/>
                    <w:t>21-22 ноября 1998 года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2" style="position:absolute;left:0;text-align:left;flip:x;z-index:251655680" from="-6.25pt,18.65pt" to="15.4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56704" from="75.95pt,1pt" to="425.9pt,1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94.55pt,18.4pt" to="128.2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y;z-index:251658752" from="15.35pt,1.1pt" to="64.6pt,1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36.95pt;margin-top:29.8pt;width:72.05pt;height:23.75pt;flip:x;z-index:251659776" o:allowincell="f" filled="t" fillcolor="lime" stroked="f" strokecolor="blue">
            <v:fill r:id="rId6" o:title="" type="pattern"/>
          </v:shape>
        </w:pict>
      </w:r>
      <w:r>
        <w:rPr>
          <w:noProof/>
        </w:rPr>
        <w:pict>
          <v:shape id="_x0000_s1037" type="#_x0000_t19" style="position:absolute;left:0;text-align:left;margin-left:72.95pt;margin-top:28.3pt;width:21.65pt;height:7.25pt;flip:x;z-index:251660800" o:allowincell="f" filled="t" fillcolor="lime" stroked="f" strokecolor="blue">
            <v:fill r:id="rId6" o:title="" type="pattern"/>
          </v:shap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</w:p>
    <w:p w:rsidR="00F17DA7" w:rsidRDefault="00F17DA7">
      <w:pPr>
        <w:widowControl w:val="0"/>
      </w:pPr>
      <w:r>
        <w:rPr>
          <w:noProof/>
        </w:rPr>
        <w:pict>
          <v:line id="_x0000_s1038" style="position:absolute;left:0;text-align:left;flip:y;z-index:251653632" from="22.45pt,-.35pt" to="498.6pt,136.5pt" o:allowincell="f" strokecolor="red" strokeweight="6pt">
            <v:stroke startarrowwidth="narrow" startarrowlength="short" endarrowwidth="narrow" endarrowlength="short"/>
          </v:line>
        </w:pict>
      </w:r>
    </w:p>
    <w:p w:rsidR="00F17DA7" w:rsidRDefault="00F17DA7">
      <w:pPr>
        <w:widowControl w:val="0"/>
      </w:pPr>
    </w:p>
    <w:p w:rsidR="00F17DA7" w:rsidRDefault="00F17DA7">
      <w:pPr>
        <w:widowControl w:val="0"/>
        <w:rPr>
          <w:sz w:val="30"/>
          <w:szCs w:val="30"/>
        </w:rPr>
      </w:pPr>
    </w:p>
    <w:p w:rsidR="00F17DA7" w:rsidRDefault="00F17DA7">
      <w:pPr>
        <w:widowControl w:val="0"/>
        <w:rPr>
          <w:sz w:val="30"/>
          <w:szCs w:val="30"/>
          <w:lang w:val="en-US"/>
        </w:rPr>
      </w:pPr>
    </w:p>
    <w:p w:rsidR="00F17DA7" w:rsidRDefault="00F17DA7">
      <w:pPr>
        <w:rPr>
          <w:lang w:val="en-US"/>
        </w:rPr>
      </w:pPr>
    </w:p>
    <w:p w:rsidR="00F17DA7" w:rsidRDefault="00F17DA7">
      <w:pPr>
        <w:pStyle w:val="Heading1"/>
        <w:rPr>
          <w:color w:val="FF0000"/>
        </w:rPr>
      </w:pPr>
      <w:r>
        <w:rPr>
          <w:color w:val="FF0000"/>
        </w:rPr>
        <w:t>Темы:</w:t>
      </w:r>
    </w:p>
    <w:p w:rsidR="00F17DA7" w:rsidRDefault="00F17DA7">
      <w:pPr>
        <w:ind w:firstLine="1418"/>
        <w:rPr>
          <w:b/>
          <w:bCs/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>1. С кем дружить премьеру?</w:t>
      </w:r>
    </w:p>
    <w:p w:rsidR="00F17DA7" w:rsidRDefault="00F17DA7">
      <w:pPr>
        <w:ind w:firstLine="1418"/>
        <w:rPr>
          <w:b/>
          <w:bCs/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>2. Почему растут претензии к Думе?</w:t>
      </w:r>
    </w:p>
    <w:p w:rsidR="00F17DA7" w:rsidRDefault="00F17DA7">
      <w:pPr>
        <w:ind w:firstLine="1418"/>
        <w:rPr>
          <w:b/>
          <w:bCs/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>3. Честные должники, суровые кредиторы</w:t>
      </w:r>
    </w:p>
    <w:p w:rsidR="00F17DA7" w:rsidRDefault="00F17DA7">
      <w:pPr>
        <w:pStyle w:val="Heading1"/>
      </w:pPr>
      <w:r>
        <w:br w:type="page"/>
        <w:t>1. С кем дружить премьеру?</w:t>
      </w:r>
    </w:p>
    <w:p w:rsidR="00F17DA7" w:rsidRDefault="00F17DA7">
      <w:pPr>
        <w:spacing w:before="0" w:after="0"/>
        <w:ind w:firstLine="426"/>
      </w:pPr>
      <w:r>
        <w:t xml:space="preserve">Престиж главы российского правительства остается весьма высоким: 56% опрошенных заявляют о том, что у них сложилось в целом хорошее впечатление о Е.Примакове, и лишь 13% – что это впечатление плохое. Доверие к премьеру испытывают 41% респондентов, недоверие -23%; подобным кредитом доверия не располагает, как известно, никто из представителей политической элиты. </w:t>
      </w:r>
    </w:p>
    <w:p w:rsidR="00F17DA7" w:rsidRDefault="00F17DA7">
      <w:pPr>
        <w:spacing w:before="0" w:after="0"/>
        <w:ind w:firstLine="426"/>
      </w:pPr>
      <w:r>
        <w:t>Высокая репутация премьера связана, помимо прочего, с тем, что он воспринимается большинством российских граждан как фигура "надпартийная", политически неангажированная. Неучастие в партийно-политической борьбе, "рав</w:t>
      </w:r>
      <w:r>
        <w:rPr>
          <w:lang w:val="en-US"/>
        </w:rPr>
        <w:softHyphen/>
      </w:r>
      <w:r>
        <w:t>ноудаленность" от соперничающих политических сил и многократно проде</w:t>
      </w:r>
      <w:r>
        <w:rPr>
          <w:lang w:val="en-US"/>
        </w:rPr>
        <w:softHyphen/>
      </w:r>
      <w:r>
        <w:t>монстрированное отсутствие "президентских" амбиций приносят Е.При</w:t>
      </w:r>
      <w:r>
        <w:rPr>
          <w:lang w:val="en-US"/>
        </w:rPr>
        <w:softHyphen/>
      </w:r>
      <w:r>
        <w:t>ма</w:t>
      </w:r>
      <w:r>
        <w:rPr>
          <w:lang w:val="en-US"/>
        </w:rPr>
        <w:softHyphen/>
      </w:r>
      <w:r>
        <w:t>кову значительные политические дивиденды.</w:t>
      </w:r>
    </w:p>
    <w:p w:rsidR="00F17DA7" w:rsidRDefault="00F17DA7">
      <w:pPr>
        <w:spacing w:before="0" w:after="0"/>
        <w:ind w:firstLine="426"/>
      </w:pPr>
      <w:r>
        <w:t xml:space="preserve">Несомненно, премьер и далее будет избегать сколько-нибудь внятного самоопределения в идейно-политической системе координат и не пойдет на заключение формального политического "союза" с кем-либо из партийных лидеров – во всяком случае, до "официального" открытия президентской избирательной кампании. Поэтому вопрос, ответы на который приведены ниже, может, на первый взгляд, показаться несколько умозрительным. Представляется, однако, что вероятность некоторого сближения Е.Примакова с теми или иными политическими силами </w:t>
      </w:r>
      <w:r>
        <w:rPr>
          <w:lang w:val="en-US"/>
        </w:rPr>
        <w:t>(</w:t>
      </w:r>
      <w:r>
        <w:t xml:space="preserve">и, соответственно, большего, чем сегодня, дистанцирования от других) в обозримом будущем достаточно велика: необходимость принятия бюджета, актуализация проблематики конституционной реформы и ряд других обстоятельств требуют от кабинета действий, которые могут оказаться несовместимыми с политическим "нейтралитетом". Поэтому вопрос о возможных последствиях политического самоопределения премьера весьма актуален. </w:t>
      </w:r>
    </w:p>
    <w:p w:rsidR="00F17DA7" w:rsidRDefault="00F17DA7">
      <w:pPr>
        <w:spacing w:before="0" w:after="0"/>
        <w:ind w:firstLine="426"/>
      </w:pPr>
    </w:p>
    <w:p w:rsidR="00F17DA7" w:rsidRDefault="00F17DA7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"Скажите, пожалуйста, Ваше отношение к Е.Примакову улучшится, ухудшится или не изменится, если он станет политическим союзником...?"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275"/>
        <w:gridCol w:w="724"/>
        <w:gridCol w:w="1141"/>
        <w:gridCol w:w="968"/>
        <w:gridCol w:w="1080"/>
        <w:gridCol w:w="1305"/>
        <w:gridCol w:w="1210"/>
      </w:tblGrid>
      <w:tr w:rsidR="00F17DA7">
        <w:tblPrEx>
          <w:tblCellMar>
            <w:top w:w="0" w:type="dxa"/>
            <w:bottom w:w="0" w:type="dxa"/>
          </w:tblCellMar>
        </w:tblPrEx>
        <w:tc>
          <w:tcPr>
            <w:tcW w:w="3275" w:type="dxa"/>
            <w:tcBorders>
              <w:top w:val="single" w:sz="12" w:space="0" w:color="auto"/>
              <w:bottom w:val="nil"/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702" w:type="dxa"/>
            <w:gridSpan w:val="5"/>
            <w:tcBorders>
              <w:top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bottom w:val="single" w:sz="12" w:space="0" w:color="auto"/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Примакова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7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...Ю.Лужкова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улучшится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изменится 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ухудшится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7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...Г.Зюганова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улучшится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изменится 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ухудшится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7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...Г.Явлинского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улучшится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изменится 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ухудшится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7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...С.Кириенко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улучшится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изменится 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ухудшится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7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...А.Лебедя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улучшится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 изменится 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ухудшится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bottom w:val="single" w:sz="12" w:space="0" w:color="auto"/>
              <w:right w:val="single" w:sz="6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pBdr>
                <w:right w:val="single" w:sz="12" w:space="1" w:color="auto"/>
              </w:pBdr>
              <w:spacing w:before="4" w:after="4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F17DA7" w:rsidRDefault="00F17DA7">
      <w:pPr>
        <w:spacing w:before="0" w:after="0"/>
        <w:ind w:firstLine="426"/>
        <w:rPr>
          <w:b/>
          <w:bCs/>
          <w:sz w:val="8"/>
          <w:szCs w:val="8"/>
        </w:rPr>
      </w:pPr>
    </w:p>
    <w:p w:rsidR="00F17DA7" w:rsidRDefault="00F17DA7">
      <w:pPr>
        <w:spacing w:before="0" w:after="0"/>
        <w:ind w:firstLine="426"/>
      </w:pPr>
      <w:r>
        <w:t>Как явствует из этих данных, сближение с Г.Зюгановым и С.Кириенко может заметно дискредитировать Е.Примакова, а с Ю.Лужковым, напротив, – повысить его престиж. В случае блокирования премьера с Г.Явлинским или А.Лебедем его политические потери и приобретения взаимно уравновешиваются.</w:t>
      </w:r>
    </w:p>
    <w:p w:rsidR="00F17DA7" w:rsidRDefault="00F17DA7">
      <w:pPr>
        <w:spacing w:before="0" w:after="0"/>
        <w:ind w:firstLine="426"/>
      </w:pPr>
      <w:r>
        <w:t xml:space="preserve">Наиболее существенной переоценке фигура премьера подверглась бы в случае его альянса с лидером КПРФ: если при рассмотрении других гипотетических союзов доля опрошенных, заявляющих, что их отношение к Е.Примакову изменилось бы, составляет 36-44% (сумма ответов "улучшится" и "ухудшится"), то в этом случае – 53%. </w:t>
      </w:r>
    </w:p>
    <w:p w:rsidR="00F17DA7" w:rsidRDefault="00F17DA7">
      <w:pPr>
        <w:spacing w:before="0" w:after="0" w:line="442" w:lineRule="exact"/>
        <w:ind w:firstLine="425"/>
      </w:pPr>
      <w:r>
        <w:t xml:space="preserve">Сближение премьера с Г.Зюгановым было бы, естественно, одобрено подавляющим большинством сторонников последнего, но оно вызвало бы разочарование у абсолютного большинства приверженцев Ю.Лужкова и Г.Явлинского и почти у половины электоратов А.Лебедя и самого Е.Примакова. </w:t>
      </w:r>
    </w:p>
    <w:p w:rsidR="00F17DA7" w:rsidRDefault="00F17DA7">
      <w:pPr>
        <w:spacing w:before="0" w:after="0" w:line="442" w:lineRule="exact"/>
        <w:ind w:firstLine="425"/>
      </w:pPr>
      <w:r>
        <w:t>Такая реакция свидетельствует, во-первых, о том, что водораздел между прокоммунистическими и некоммунистическими силами остается для наших соотечественников важнейшей, основной линией размежевания в российском политическом пространстве. Пересечение этой линии, очевидно, чревато серьезными электоральными потерями для любого политика. Если, например, 52% сторонников Ю.Лужкова заявляют, что их отношение к премьеру ухудшилось бы в случае его блокирования с Г.Зюгановым (а улучшилось бы – лишь у 9%), то это позволяет усомниться в том, что и сам московский мэр сумел бы сохранить свой электорат, когда бы его флирт с коммунистами оказался более продолжительным.</w:t>
      </w:r>
    </w:p>
    <w:p w:rsidR="00F17DA7" w:rsidRDefault="00F17DA7">
      <w:pPr>
        <w:spacing w:before="0" w:after="0" w:line="442" w:lineRule="exact"/>
        <w:ind w:firstLine="425"/>
      </w:pPr>
      <w:r>
        <w:t xml:space="preserve">Во-вторых, столь интенсивная реакция респондентов на предположение о возможном альянсе премьера с Г.Зюгановым говорит, по-видимому, о том, что, несмотря на изрядное представительство коммунистов и их сторонников в правительстве, на благожелательность думской фракции КПРФ по отношению к этому правительству, наконец, на широко тиражируемый СМИ тезис о резком "покраснении" Белого дома, большинство респондентов не считают, что Е.Примаков сегодня возглавляет прокоммунистический кабинет. Если бы политическая дистанция между премьером и лидером КПРФ представлялась им незначительной, едва ли столь многие заявили бы, что ее преодоление всерьез повлияло бы на их отношение к главе правительства. </w:t>
      </w:r>
    </w:p>
    <w:p w:rsidR="00F17DA7" w:rsidRDefault="00F17DA7">
      <w:pPr>
        <w:spacing w:before="0" w:after="0" w:line="442" w:lineRule="exact"/>
        <w:ind w:firstLine="425"/>
      </w:pPr>
      <w:r>
        <w:t>Другим "нежелательным" для премьера союзником, по мнению респондентов, стал бы С.Кириенко. Причем менее всего такой альянс обрадовал бы сторонников самого Е.Примакова. Это, впрочем, совершенно естественно: те, кто симпатизирует премьеру настолько, что желал бы видеть его в президентском кресле, особенно твердо уверены в том, что он выгодно отличается от своего предшественника, и, следовательно, менее других склонны поддерживать идею о союзе с ним.</w:t>
      </w:r>
    </w:p>
    <w:p w:rsidR="00F17DA7" w:rsidRDefault="00F17DA7">
      <w:pPr>
        <w:spacing w:before="0" w:after="0" w:line="442" w:lineRule="exact"/>
        <w:ind w:firstLine="425"/>
      </w:pPr>
      <w:r>
        <w:t>Следует, однако, отметить, что о негативном влиянии гипотетического политического союза Е.Примакова и С.Кириенко на свое отношение к действующему премьеру заявили лишь 24% респондентов, причем даже среди электората Г.Зюганова такую позицию занял только каждый третий опрошенный. Сторонники Ю.Лужкова осуждали бы подобный союз лишь ненамного реже, чем приветствовали, а приверженцы лидера "Яблока", наоборот, чаще высказываются в его пользу. Некоторые респонденты заявляют, что стали бы в этом случае лучше относиться к Е.Примакову, – вероятно, не столько в силу симпатий к бывшему премьеру, сколько потому, что альянс с ним представлялся бы им определенной гарантией от излишнего "покраснения" кабинета. Но даже с учетом этого обстоятельства распределение мнений по данному вопросу выглядит достаточно обнадеживающим с точки зрения оценки политических перспектив самого С.Кириенко. Очевидно, что даже среди респондентов, весьма далеких от правого фланга политического спектра, лишь меньшинство видит в нем одиозную фигуру.</w:t>
      </w:r>
    </w:p>
    <w:p w:rsidR="00F17DA7" w:rsidRDefault="00F17DA7">
      <w:pPr>
        <w:spacing w:before="0" w:after="0" w:line="442" w:lineRule="exact"/>
        <w:ind w:firstLine="425"/>
      </w:pPr>
      <w:r>
        <w:t>Позитивно повлиять на репутацию премьера мог бы лишь его политический союз с московским мэром, который был бы нейтрально воспринят "протестным" электоратом Г.Зюганова и А.Лебедя и поддержан не только сторонниками Ю.Лужкова и Г.Явлинского, но и приверженцами самого Е.Прима</w:t>
      </w:r>
      <w:r>
        <w:softHyphen/>
        <w:t>кова. Последние, отметим, выражают готовность санкционировать только этот альянс – в отличие от гипотетических союзов премьера с красноярским губернатором и лидером "Яблока".</w:t>
      </w:r>
    </w:p>
    <w:p w:rsidR="00F17DA7" w:rsidRDefault="00F17DA7">
      <w:pPr>
        <w:spacing w:before="0" w:after="0" w:line="404" w:lineRule="exact"/>
        <w:ind w:firstLine="425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Приведенные данные в целом свидетельствуют о том, что респонденты "предписывают" Е.Примакову оставаться в центре политического спектра: радикальное смещение как влево, так и вправо вызвало бы у них скорее разочарование, чем одобрение, тогда как альянс с тяготеющим к центризму московским мэром был бы воспринят благосклонно. Представляется, впрочем, что фактически даже такой политический союз в долгосрочной перспективе был бы не слишком выгоден премьеру, потому что, вступив в него, последний утратил бы специфический и чрезвычайно рентабельный статус "надпар</w:t>
      </w:r>
      <w:r>
        <w:rPr>
          <w:b/>
          <w:bCs/>
          <w:i/>
          <w:iCs/>
          <w:color w:val="008000"/>
        </w:rPr>
        <w:softHyphen/>
        <w:t>тий</w:t>
      </w:r>
      <w:r>
        <w:rPr>
          <w:b/>
          <w:bCs/>
          <w:i/>
          <w:iCs/>
          <w:color w:val="008000"/>
        </w:rPr>
        <w:softHyphen/>
        <w:t>но</w:t>
      </w:r>
      <w:r>
        <w:rPr>
          <w:b/>
          <w:bCs/>
          <w:i/>
          <w:iCs/>
          <w:color w:val="008000"/>
        </w:rPr>
        <w:softHyphen/>
        <w:t>го" политика. В то же время демонстрация взаимопонимания с Ю.Лужковым, близости позиций по тем или иным конкретным вопросам была бы, очевидно, полезна для укрепления репутации премьера.</w:t>
      </w:r>
    </w:p>
    <w:p w:rsidR="00F17DA7" w:rsidRDefault="00F17DA7">
      <w:pPr>
        <w:pStyle w:val="Heading1"/>
      </w:pPr>
      <w:r>
        <w:t>2. Почему растут претензии к Думе?</w:t>
      </w:r>
    </w:p>
    <w:p w:rsidR="00F17DA7" w:rsidRDefault="00F17DA7">
      <w:pPr>
        <w:spacing w:before="0" w:after="0"/>
        <w:ind w:firstLine="426"/>
      </w:pPr>
      <w:r>
        <w:t xml:space="preserve">В ходе опроса свыше 1/4 респондентов заявили о том, что в последнее время их отношение к Думе ухудшилось, и лишь 4% – о том, что оно улучшилось. </w:t>
      </w:r>
    </w:p>
    <w:p w:rsidR="00F17DA7" w:rsidRDefault="00F17DA7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"За последние две-три недели Ваше впечатление о Госдуме улучшилось, ухудшилось или не изменилось?"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275"/>
        <w:gridCol w:w="724"/>
        <w:gridCol w:w="1141"/>
        <w:gridCol w:w="968"/>
        <w:gridCol w:w="1080"/>
        <w:gridCol w:w="1305"/>
        <w:gridCol w:w="1210"/>
      </w:tblGrid>
      <w:tr w:rsidR="00F17DA7">
        <w:tblPrEx>
          <w:tblCellMar>
            <w:top w:w="0" w:type="dxa"/>
            <w:bottom w:w="0" w:type="dxa"/>
          </w:tblCellMar>
        </w:tblPrEx>
        <w:tc>
          <w:tcPr>
            <w:tcW w:w="327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702" w:type="dxa"/>
            <w:gridSpan w:val="5"/>
            <w:tcBorders>
              <w:top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Примакова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улучшилось</w:t>
            </w:r>
          </w:p>
        </w:tc>
        <w:tc>
          <w:tcPr>
            <w:tcW w:w="724" w:type="dxa"/>
            <w:tcBorders>
              <w:top w:val="nil"/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изменилось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ухудшилось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F17DA7" w:rsidRDefault="00F17DA7">
      <w:pPr>
        <w:spacing w:before="0" w:after="0"/>
        <w:ind w:firstLine="426"/>
        <w:rPr>
          <w:b/>
          <w:bCs/>
        </w:rPr>
      </w:pPr>
    </w:p>
    <w:p w:rsidR="00F17DA7" w:rsidRDefault="00F17DA7">
      <w:pPr>
        <w:spacing w:before="0" w:after="0"/>
        <w:ind w:firstLine="426"/>
      </w:pPr>
      <w:r>
        <w:t xml:space="preserve">Связано ли это с какими-то конкретными политическими решениями, принятыми депутатами? Похоже, что нет: ведь респонденты, придерживающиеся самых разных политических ориентаций, едва ли могли бы практически идентично реагировать на такие решения. </w:t>
      </w:r>
    </w:p>
    <w:p w:rsidR="00F17DA7" w:rsidRDefault="00F17DA7">
      <w:pPr>
        <w:spacing w:before="0" w:after="0"/>
        <w:ind w:firstLine="426"/>
      </w:pPr>
      <w:r>
        <w:t>Наибольший резонанс в СМИ в последние недели получил фактический отказ депутатского корпуса осудить соображения А.Макашова по национальному вопросу. Почти половина опрошенных полагают, что Думе следовало бы занять иную позицию, тогда как поддерживают ее только 22% респондентов.</w:t>
      </w:r>
    </w:p>
    <w:p w:rsidR="00F17DA7" w:rsidRDefault="00F17DA7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"Вы бы хотели или не хотели, чтобы Госдума приняла постановление, осуждающее публичные антисемитские высказывания генерала А.Макашова?"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275"/>
        <w:gridCol w:w="724"/>
        <w:gridCol w:w="1141"/>
        <w:gridCol w:w="968"/>
        <w:gridCol w:w="1080"/>
        <w:gridCol w:w="1305"/>
        <w:gridCol w:w="1210"/>
      </w:tblGrid>
      <w:tr w:rsidR="00F17DA7">
        <w:tblPrEx>
          <w:tblCellMar>
            <w:top w:w="0" w:type="dxa"/>
            <w:bottom w:w="0" w:type="dxa"/>
          </w:tblCellMar>
        </w:tblPrEx>
        <w:tc>
          <w:tcPr>
            <w:tcW w:w="327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702" w:type="dxa"/>
            <w:gridSpan w:val="5"/>
            <w:tcBorders>
              <w:top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Примакова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хотел бы</w:t>
            </w:r>
          </w:p>
        </w:tc>
        <w:tc>
          <w:tcPr>
            <w:tcW w:w="724" w:type="dxa"/>
            <w:tcBorders>
              <w:top w:val="nil"/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41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68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305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1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хотел бы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F17DA7" w:rsidRDefault="00F17DA7">
      <w:pPr>
        <w:spacing w:before="0" w:after="0"/>
        <w:ind w:firstLine="426"/>
        <w:rPr>
          <w:b/>
          <w:bCs/>
        </w:rPr>
      </w:pPr>
    </w:p>
    <w:p w:rsidR="00F17DA7" w:rsidRDefault="00F17DA7">
      <w:pPr>
        <w:spacing w:before="0" w:after="0"/>
        <w:ind w:firstLine="426"/>
      </w:pPr>
      <w:r>
        <w:t xml:space="preserve">Сторонники Ю.Лужкова и Г.Явлинского весьма решительно (в соотношении 4:1) выступают за осуждение высказываний генерала, тогда как среди приверженцев лидера КПРФ такую точку зрения разделяют 42% опрошенных, а противоположную – 33%. Если бы  суждения респондентов именно по этому вопросу в решающей мере определяли динамику их оценок деятельности Думы, то коммунистический электорат, несомненно, продемонстрировал бы гораздо большее удовлетворение ее поведением, чем сторонники московского мэра и лидера "Яблока".   </w:t>
      </w:r>
    </w:p>
    <w:p w:rsidR="00F17DA7" w:rsidRDefault="00F17DA7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"Вы бы хотели или не хотели, чтобы Госдума приняла постановление, осуждающее публичные антисемитские высказывания генерала А.Макашова?"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886"/>
        <w:gridCol w:w="956"/>
        <w:gridCol w:w="1953"/>
        <w:gridCol w:w="1953"/>
        <w:gridCol w:w="1954"/>
      </w:tblGrid>
      <w:tr w:rsidR="00F17DA7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860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За последние две-три недели Ваше </w:t>
            </w:r>
            <w:r>
              <w:rPr>
                <w:b/>
                <w:bCs/>
                <w:color w:val="008000"/>
                <w:sz w:val="24"/>
                <w:szCs w:val="24"/>
              </w:rPr>
              <w:br/>
              <w:t xml:space="preserve">впечатление о Госдуме улучшилось, </w:t>
            </w:r>
            <w:r>
              <w:rPr>
                <w:b/>
                <w:bCs/>
                <w:color w:val="008000"/>
                <w:sz w:val="24"/>
                <w:szCs w:val="24"/>
              </w:rPr>
              <w:br/>
              <w:t>ухудшилось или не изменилось?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улучшилось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 изменилось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ухудшилось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хотел бы</w:t>
            </w:r>
          </w:p>
        </w:tc>
        <w:tc>
          <w:tcPr>
            <w:tcW w:w="956" w:type="dxa"/>
            <w:tcBorders>
              <w:top w:val="nil"/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953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53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53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хотел бы</w:t>
            </w:r>
          </w:p>
        </w:tc>
        <w:tc>
          <w:tcPr>
            <w:tcW w:w="956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53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53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3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956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F17DA7" w:rsidRDefault="00F17DA7">
      <w:pPr>
        <w:spacing w:before="0" w:after="0"/>
        <w:ind w:firstLine="426"/>
        <w:rPr>
          <w:b/>
          <w:bCs/>
        </w:rPr>
      </w:pPr>
    </w:p>
    <w:p w:rsidR="00F17DA7" w:rsidRDefault="00F17DA7">
      <w:pPr>
        <w:spacing w:before="0" w:after="0"/>
        <w:ind w:firstLine="426"/>
      </w:pPr>
      <w:r>
        <w:t>Однако, как явствует из приведенных данных, снисходительность Думы к А.Макашову не слишком сильно повлияла на суждения опрошенных. Правда, доля сторонников осуждения генерала среди тех, чье мнение о Думе ухудшилось, несколько выше, чем в среднем по выборке, но и те немногие, кто стал относиться к Думе лучше, несколько чаще, чем прочие, полагают, что депутатам следовало бы осудить своего коллегу.</w:t>
      </w:r>
    </w:p>
    <w:p w:rsidR="00F17DA7" w:rsidRDefault="00F17DA7">
      <w:pPr>
        <w:spacing w:before="0" w:after="0"/>
        <w:ind w:firstLine="426"/>
      </w:pPr>
      <w:r>
        <w:t>В последние годы отношение к Думе нередко определялось тем, сколь энергично она противостояла правительству и – особенно – президенту. Причем "протестный" электорат, естественно, чаще поддерживал конфронтационные действия депутатского корпуса, а респонденты, ориентирующиеся на политиков реформистской ориентации, чаще осуждали их.</w:t>
      </w:r>
    </w:p>
    <w:p w:rsidR="00F17DA7" w:rsidRDefault="00F17DA7">
      <w:pPr>
        <w:spacing w:before="0" w:after="0"/>
        <w:ind w:firstLine="426"/>
      </w:pPr>
      <w:r>
        <w:t>Довольно заметные – хотя и не столь драматичные, как год-другой назад, – различия по данному параметру сохраняются и сегодня.</w:t>
      </w:r>
    </w:p>
    <w:p w:rsidR="00F17DA7" w:rsidRDefault="00F17DA7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br w:type="page"/>
        <w:t xml:space="preserve">Вопрос: "Вы бы хотели или не хотели, чтобы Госдума приняла постановление об импичменте /отстранении от должности/ президента Б.Ельцина?" 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275"/>
        <w:gridCol w:w="724"/>
        <w:gridCol w:w="1141"/>
        <w:gridCol w:w="968"/>
        <w:gridCol w:w="1080"/>
        <w:gridCol w:w="1305"/>
        <w:gridCol w:w="1210"/>
      </w:tblGrid>
      <w:tr w:rsidR="00F17DA7">
        <w:tblPrEx>
          <w:tblCellMar>
            <w:top w:w="0" w:type="dxa"/>
            <w:bottom w:w="0" w:type="dxa"/>
          </w:tblCellMar>
        </w:tblPrEx>
        <w:tc>
          <w:tcPr>
            <w:tcW w:w="327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  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702" w:type="dxa"/>
            <w:gridSpan w:val="5"/>
            <w:tcBorders>
              <w:top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Примакова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хотел бы</w:t>
            </w:r>
          </w:p>
        </w:tc>
        <w:tc>
          <w:tcPr>
            <w:tcW w:w="724" w:type="dxa"/>
            <w:tcBorders>
              <w:top w:val="nil"/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141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68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305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1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хотел бы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17DA7" w:rsidRDefault="00F17DA7">
      <w:pPr>
        <w:spacing w:before="0" w:after="0"/>
        <w:ind w:firstLine="426"/>
      </w:pPr>
    </w:p>
    <w:p w:rsidR="00F17DA7" w:rsidRDefault="00F17DA7">
      <w:pPr>
        <w:spacing w:before="0" w:after="0"/>
        <w:ind w:firstLine="426"/>
      </w:pPr>
      <w:r>
        <w:t>Сторонники Г.Зюганова практически единодушны в стремлении реализовать идею импичмента, в то время как среди сторонников Ю.Лужкова и Г.Явлинского есть довольно значительное меньшинство, выступающее против этой затеи. Но на отношении респондентов к Думе, предпринимающей очередные шаги в данном направлении, эти расхождения никоим образом не отражаются.</w:t>
      </w:r>
    </w:p>
    <w:p w:rsidR="00F17DA7" w:rsidRDefault="00F17DA7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 xml:space="preserve">Вопрос: "Вы бы хотели или не хотели, чтобы Госдума приняла постановление об импичменте /отстранении от должности/ президента Б.Ельцина?" 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886"/>
        <w:gridCol w:w="956"/>
        <w:gridCol w:w="1953"/>
        <w:gridCol w:w="1953"/>
        <w:gridCol w:w="1954"/>
      </w:tblGrid>
      <w:tr w:rsidR="00F17DA7">
        <w:tblPrEx>
          <w:tblCellMar>
            <w:top w:w="0" w:type="dxa"/>
            <w:bottom w:w="0" w:type="dxa"/>
          </w:tblCellMar>
        </w:tblPrEx>
        <w:tc>
          <w:tcPr>
            <w:tcW w:w="288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860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За последние две-три недели Ваше </w:t>
            </w:r>
            <w:r>
              <w:rPr>
                <w:b/>
                <w:bCs/>
                <w:color w:val="008000"/>
                <w:sz w:val="24"/>
                <w:szCs w:val="24"/>
              </w:rPr>
              <w:br/>
              <w:t xml:space="preserve">впечатление о Госдуме улучшилось, </w:t>
            </w:r>
            <w:r>
              <w:rPr>
                <w:b/>
                <w:bCs/>
                <w:color w:val="008000"/>
                <w:sz w:val="24"/>
                <w:szCs w:val="24"/>
              </w:rPr>
              <w:br/>
              <w:t>ухудшилось или не изменилось?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Улучшилось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 изменилось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ухудшилось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хотел бы</w:t>
            </w:r>
          </w:p>
        </w:tc>
        <w:tc>
          <w:tcPr>
            <w:tcW w:w="956" w:type="dxa"/>
            <w:tcBorders>
              <w:top w:val="nil"/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953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53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53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хотел бы</w:t>
            </w:r>
          </w:p>
        </w:tc>
        <w:tc>
          <w:tcPr>
            <w:tcW w:w="956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53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53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3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956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17DA7" w:rsidRDefault="00F17DA7">
      <w:pPr>
        <w:spacing w:before="0" w:after="0"/>
        <w:ind w:firstLine="426"/>
        <w:rPr>
          <w:b/>
          <w:bCs/>
        </w:rPr>
      </w:pPr>
    </w:p>
    <w:p w:rsidR="00F17DA7" w:rsidRDefault="00F17DA7">
      <w:pPr>
        <w:spacing w:before="0" w:after="0"/>
        <w:ind w:left="567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Представляется, что недовольство Думой усиливается сегодня из-за обстоятельств, практически не связанных с ее собственной деятельностью. Следует отметить, что престиж депутатского корпуса довольно резко вырос в результате достижения компромисса между Думой и президентом, приведшего к утверждению Е.Примакова премьер-министром. Возможно, по мере того, как заслуги Думы в разрешении правительственного кризиса постепенно забываются, в массовом сознании восстанавливается прежнее, по преимуществу негативное отношение к ней.</w:t>
      </w:r>
    </w:p>
    <w:p w:rsidR="00F17DA7" w:rsidRDefault="00F17DA7">
      <w:pPr>
        <w:spacing w:before="0" w:after="0"/>
        <w:ind w:left="567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Растущая неприязнь к Думе обусловлена, вероятно, и общим ухудшением социально-экономической ситуации в стране. Не то чтобы российские граждане возлагали на депутатский корпус основную долю ответственности за кризис, но в условиях, когда правительство сохраняет значительный кредит доверия, а президент явно находится "вне игры", именно парламентарии оказываются "крайними". И недовольство властью в целом проявляется в падении их престижа.</w:t>
      </w:r>
    </w:p>
    <w:p w:rsidR="00F17DA7" w:rsidRDefault="00F17DA7">
      <w:pPr>
        <w:spacing w:before="0" w:after="0"/>
        <w:ind w:left="567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 xml:space="preserve">Так или иначе, развитие этой тенденции может оказаться на руку правительству, если ему предстоит серьезное сражение в Думе по проблеме бюджета на 1999 г.  </w:t>
      </w:r>
    </w:p>
    <w:p w:rsidR="00F17DA7" w:rsidRDefault="00F17DA7">
      <w:pPr>
        <w:spacing w:before="0" w:after="0"/>
        <w:ind w:firstLine="426"/>
        <w:jc w:val="center"/>
        <w:rPr>
          <w:b/>
          <w:bCs/>
          <w:u w:val="single"/>
        </w:rPr>
      </w:pPr>
    </w:p>
    <w:p w:rsidR="00F17DA7" w:rsidRDefault="00F17DA7">
      <w:pPr>
        <w:pStyle w:val="Heading1"/>
      </w:pPr>
      <w:r>
        <w:br w:type="page"/>
        <w:t>3. Честные должники, суровые кредиторы</w:t>
      </w:r>
    </w:p>
    <w:p w:rsidR="00F17DA7" w:rsidRDefault="00F17DA7">
      <w:pPr>
        <w:spacing w:before="0" w:after="0"/>
        <w:ind w:firstLine="426"/>
      </w:pPr>
      <w:r>
        <w:t>Среди респондентов 60% убеждены, что Россия ни при каких обстоятельствах не должна отказываться от выплаты внешних долгов.</w:t>
      </w:r>
    </w:p>
    <w:p w:rsidR="00F17DA7" w:rsidRDefault="00F17DA7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"Одни говорят, что при нынешнем финансовом кризисе России следует отказаться от выплаты внешних долгов. Другие считают, что отказываться от выплаты внешних долгов нельзя ни в коем случае. С каким из этих мнений Вы согласны – с первым или со вторым?"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275"/>
        <w:gridCol w:w="724"/>
        <w:gridCol w:w="1141"/>
        <w:gridCol w:w="968"/>
        <w:gridCol w:w="1080"/>
        <w:gridCol w:w="1305"/>
        <w:gridCol w:w="1210"/>
      </w:tblGrid>
      <w:tr w:rsidR="00F17DA7">
        <w:tblPrEx>
          <w:tblCellMar>
            <w:top w:w="0" w:type="dxa"/>
            <w:bottom w:w="0" w:type="dxa"/>
          </w:tblCellMar>
        </w:tblPrEx>
        <w:tc>
          <w:tcPr>
            <w:tcW w:w="327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702" w:type="dxa"/>
            <w:gridSpan w:val="5"/>
            <w:tcBorders>
              <w:top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Примакова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первым</w:t>
            </w:r>
          </w:p>
        </w:tc>
        <w:tc>
          <w:tcPr>
            <w:tcW w:w="724" w:type="dxa"/>
            <w:tcBorders>
              <w:top w:val="nil"/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8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1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 вторым 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F17DA7" w:rsidRDefault="00F17DA7">
      <w:pPr>
        <w:spacing w:before="0" w:after="0"/>
        <w:ind w:firstLine="426"/>
        <w:rPr>
          <w:b/>
          <w:bCs/>
        </w:rPr>
      </w:pPr>
    </w:p>
    <w:p w:rsidR="00F17DA7" w:rsidRDefault="00F17DA7">
      <w:pPr>
        <w:spacing w:before="0" w:after="0"/>
        <w:ind w:firstLine="426"/>
      </w:pPr>
      <w:r>
        <w:t xml:space="preserve">При этом подавляющее большинство наших соотечественников полагает, что ресурсы для погашения внешней задолженности следует искать прежде всего внутри страны. </w:t>
      </w:r>
    </w:p>
    <w:p w:rsidR="00F17DA7" w:rsidRDefault="00F17DA7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"В ноябре истекает очередной срок выплаты долгов России иностранным банкам. На это требуются огромные денежные средства. Одни считают, что для выплаты этих долгов нужно в первую очередь добиваться новых займов из-за рубежа, другие – что следует в первую очередь искать денежные средства внутри страны. С каким из этих мнений Вы согласны – с первым или со вторым?"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275"/>
        <w:gridCol w:w="724"/>
        <w:gridCol w:w="1141"/>
        <w:gridCol w:w="968"/>
        <w:gridCol w:w="1080"/>
        <w:gridCol w:w="1305"/>
        <w:gridCol w:w="1210"/>
      </w:tblGrid>
      <w:tr w:rsidR="00F17DA7">
        <w:tblPrEx>
          <w:tblCellMar>
            <w:top w:w="0" w:type="dxa"/>
            <w:bottom w:w="0" w:type="dxa"/>
          </w:tblCellMar>
        </w:tblPrEx>
        <w:tc>
          <w:tcPr>
            <w:tcW w:w="327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702" w:type="dxa"/>
            <w:gridSpan w:val="5"/>
            <w:tcBorders>
              <w:top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Примакова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первым</w:t>
            </w:r>
          </w:p>
        </w:tc>
        <w:tc>
          <w:tcPr>
            <w:tcW w:w="724" w:type="dxa"/>
            <w:tcBorders>
              <w:top w:val="nil"/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8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 вторым 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17DA7" w:rsidRDefault="00F17DA7">
      <w:pPr>
        <w:spacing w:before="0" w:after="0"/>
        <w:ind w:firstLine="426"/>
        <w:rPr>
          <w:b/>
          <w:bCs/>
        </w:rPr>
      </w:pPr>
    </w:p>
    <w:p w:rsidR="00F17DA7" w:rsidRDefault="00F17DA7">
      <w:pPr>
        <w:spacing w:before="0" w:after="0"/>
        <w:ind w:firstLine="426"/>
      </w:pPr>
      <w:r>
        <w:t>Несколько неожиданным представляется, пожалуй, тот факт, что сторонники Г.Зюганова и А.Лебедя предлагают ориентироваться на внешние заимствования чаще, чем другие опрошенные. И это – несмотря на повышенную восприимчивость "протестного", и прежде всего – коммунистического – электората к "патриотической", антизападной риторике, на особое беспокойство по поводу экономической зависимости России от Запада. Дело, видимо, в том, что этот электорат, как известно, особенно пессимистично оценивает экономическую ситуацию в стране. Респонденты, уверенные, что в России невозможно "найти" средства, сопоставимые с масштабами внешнего долга, в большей мере склонны видеть единственный выход из положения в новых внешних займах.</w:t>
      </w:r>
    </w:p>
    <w:p w:rsidR="00F17DA7" w:rsidRDefault="00F17DA7">
      <w:pPr>
        <w:spacing w:before="0" w:after="0"/>
        <w:ind w:firstLine="426"/>
      </w:pPr>
      <w:r>
        <w:t>Требуя погашения внешней задолженности за счет внутренних ресурсов, большинство опрошенных не соглашаются, вместе с тем, "затянуть пояса" и предоставить правительству отсрочку по его  финансовым обязательствам перед российскими гражданами.</w:t>
      </w:r>
    </w:p>
    <w:p w:rsidR="00F17DA7" w:rsidRDefault="00F17DA7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"Как бы Вы отнеслись – положительно или отрицательно – к тому, чтобы правительство гарантировало всем текущую выплату зарплаты, пенсии, пособий без задержек, но отложило бы всю накопившуюся задолженность по выплатам на 2-3 года?"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275"/>
        <w:gridCol w:w="724"/>
        <w:gridCol w:w="1141"/>
        <w:gridCol w:w="968"/>
        <w:gridCol w:w="1080"/>
        <w:gridCol w:w="1305"/>
        <w:gridCol w:w="1210"/>
      </w:tblGrid>
      <w:tr w:rsidR="00F17DA7">
        <w:tblPrEx>
          <w:tblCellMar>
            <w:top w:w="0" w:type="dxa"/>
            <w:bottom w:w="0" w:type="dxa"/>
          </w:tblCellMar>
        </w:tblPrEx>
        <w:tc>
          <w:tcPr>
            <w:tcW w:w="327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702" w:type="dxa"/>
            <w:gridSpan w:val="5"/>
            <w:tcBorders>
              <w:top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Примакова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положительно</w:t>
            </w:r>
          </w:p>
        </w:tc>
        <w:tc>
          <w:tcPr>
            <w:tcW w:w="724" w:type="dxa"/>
            <w:tcBorders>
              <w:top w:val="nil"/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41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8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05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10" w:type="dxa"/>
            <w:tcBorders>
              <w:top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отрицательно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F17DA7" w:rsidRDefault="00F17DA7">
      <w:pPr>
        <w:spacing w:before="0" w:after="0"/>
        <w:ind w:firstLine="426"/>
        <w:rPr>
          <w:b/>
          <w:bCs/>
        </w:rPr>
      </w:pPr>
    </w:p>
    <w:p w:rsidR="00F17DA7" w:rsidRDefault="00F17DA7">
      <w:pPr>
        <w:spacing w:before="0" w:after="0"/>
        <w:ind w:firstLine="426"/>
      </w:pPr>
      <w:r>
        <w:t>Здесь обращает на себя внимание прежде всего контраст в позициях двух групп "протестного" электората: сторонники Г.Зюганова – наиболее непримиримые, а приверженцы А.Лебедя – самые снисходительные "кредиторы" правительства. Особенно решительное неприятие такой отсрочки сторонниками лидера КПРФ в значительной мере объясняется, очевидно, их возрастом: удельный вес пожилых людей в составе коммунистического электората, как известно, чрезвычайно высок, и неудивительно, что они сравнительно редко соглашаются ждать 2-3 года. По-видимому, относительная "покладистость" более молодых сторонников красноярского губернатора связана с тем, что, не веря в способность правительства вернуть долги, они предпочитают "синицу в руках" – гарантии своевременной выплаты текущих зарплат, пенсий и пособий.</w:t>
      </w:r>
    </w:p>
    <w:p w:rsidR="00F17DA7" w:rsidRDefault="00F17DA7">
      <w:pPr>
        <w:spacing w:before="0" w:after="0"/>
        <w:ind w:firstLine="426"/>
      </w:pPr>
      <w:r>
        <w:t xml:space="preserve">В то же время предложение "решить" проблему задолженности посредством массированной эмиссии даже менее популярно, чем идея об отсрочке соответствующих выплат. Причем на протяжении последних месяцев, когда тема выбора финансовой стратегии находилась в фокусе внимания СМИ, отношение российских граждан к инфляционному пути стало еще более негативным. </w:t>
      </w:r>
    </w:p>
    <w:p w:rsidR="00F17DA7" w:rsidRDefault="00F17DA7">
      <w:pPr>
        <w:spacing w:before="0" w:after="0"/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"Одни говорят, что для выплаты долгов по зарплате и пенсиям необходимо произвести денежную эмиссию, то есть напечатать дополнительные деньги, другие говорят, что этого делать нельзя, так как денежная эмиссия может вызвать инфляцию и рост цен. Какое из этих двух мнений Вы разделяете?"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275"/>
        <w:gridCol w:w="724"/>
        <w:gridCol w:w="1141"/>
        <w:gridCol w:w="968"/>
        <w:gridCol w:w="1080"/>
        <w:gridCol w:w="1305"/>
        <w:gridCol w:w="1210"/>
      </w:tblGrid>
      <w:tr w:rsidR="00F17DA7">
        <w:tblPrEx>
          <w:tblCellMar>
            <w:top w:w="0" w:type="dxa"/>
            <w:bottom w:w="0" w:type="dxa"/>
          </w:tblCellMar>
        </w:tblPrEx>
        <w:tc>
          <w:tcPr>
            <w:tcW w:w="327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702" w:type="dxa"/>
            <w:gridSpan w:val="5"/>
            <w:tcBorders>
              <w:top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электоратов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Примакова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7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19-20 сентября 1998 г.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первое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второе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9701" w:type="dxa"/>
            <w:gridSpan w:val="7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21-22 ноября 1998 г.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первое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второе</w:t>
            </w:r>
          </w:p>
        </w:tc>
        <w:tc>
          <w:tcPr>
            <w:tcW w:w="724" w:type="dxa"/>
            <w:tcBorders>
              <w:left w:val="nil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41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68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8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05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10" w:type="dxa"/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17DA7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24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pct20" w:color="FFFF00" w:fill="auto"/>
          </w:tcPr>
          <w:p w:rsidR="00F17DA7" w:rsidRDefault="00F17DA7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17DA7" w:rsidRDefault="00F17DA7">
      <w:pPr>
        <w:spacing w:before="0" w:after="0"/>
        <w:ind w:firstLine="426"/>
        <w:rPr>
          <w:b/>
          <w:bCs/>
        </w:rPr>
      </w:pPr>
    </w:p>
    <w:p w:rsidR="00F17DA7" w:rsidRDefault="00F17DA7">
      <w:pPr>
        <w:spacing w:before="0" w:after="0"/>
        <w:ind w:firstLine="426"/>
      </w:pPr>
      <w:r>
        <w:t>За эти месяцы, правда, несколько увеличилась доля сторонников эмиссии среди приверженцев Г.Явлинского и А.Лебедя, но значительно сократилась – среди респондентов, ориентирующихся на Г.Зюганова и Ю.Лужкова.</w:t>
      </w:r>
    </w:p>
    <w:p w:rsidR="00F17DA7" w:rsidRDefault="00F17DA7">
      <w:pPr>
        <w:spacing w:before="0" w:after="0"/>
        <w:ind w:firstLine="426"/>
      </w:pPr>
      <w:r>
        <w:t xml:space="preserve">Наиболее решительными сторонниками жесткой финансовой политики являются сегодня, однако, респонденты, желающие видеть в президентском кресле Е.Примакова. Естественно предположить, что престиж действующего премьера в известной мере связан с надеждами на то, что правительству удастся удержать инфляцию под контролем. </w:t>
      </w:r>
    </w:p>
    <w:p w:rsidR="00F17DA7" w:rsidRDefault="00F17DA7">
      <w:pPr>
        <w:spacing w:before="0" w:after="0"/>
        <w:ind w:firstLine="426"/>
        <w:rPr>
          <w:b/>
          <w:bCs/>
          <w:i/>
          <w:iCs/>
        </w:rPr>
      </w:pPr>
    </w:p>
    <w:p w:rsidR="00F17DA7" w:rsidRDefault="00F17DA7">
      <w:pPr>
        <w:tabs>
          <w:tab w:val="left" w:pos="1985"/>
        </w:tabs>
        <w:spacing w:before="0" w:after="0"/>
        <w:ind w:left="567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Финансовое положение страны едва ли позволит правительству выплачивать внешние долги и одновременно погашать задолженность по зарплатам и пенсиям, не прибегая к тому же к более или менее массированной эмиссии. Однако преобладание в массовом сознании установок на  жесткую финансовую политику и исполнение обязательств перед иностранными кредиторами, даже не подкрепленное готовностью еще туже "затянуть пояса", дает правительству определенную возможность отстаивать жесткий вариант бюджета на 1999 г. и, в частности, вести публичную полемику с Думой, если она предпримет попытку резко увеличить его расходную часть.</w:t>
      </w:r>
    </w:p>
    <w:p w:rsidR="00F17DA7" w:rsidRDefault="00F17DA7">
      <w:pPr>
        <w:tabs>
          <w:tab w:val="left" w:pos="1985"/>
        </w:tabs>
        <w:spacing w:before="0" w:after="0"/>
        <w:ind w:left="567" w:firstLine="426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 xml:space="preserve">Но апелляция к этим установкам может быть действенной лишь в сочетании с эффективными или, как минимум, эффектными мерами по борьбе с коррупцией и сокращением расходов на содержание государственного аппарата; в противном случае призывы "жить по средствам", как показывает опыт последних лет, доверия не вызывают. </w:t>
      </w:r>
    </w:p>
    <w:p w:rsidR="00F17DA7" w:rsidRDefault="00F17DA7">
      <w:pPr>
        <w:spacing w:before="0" w:after="0"/>
        <w:ind w:firstLine="425"/>
        <w:rPr>
          <w:b/>
          <w:bCs/>
          <w:i/>
          <w:iCs/>
          <w:color w:val="008000"/>
        </w:rPr>
      </w:pPr>
    </w:p>
    <w:sectPr w:rsidR="00F17DA7" w:rsidSect="00F17DA7">
      <w:footerReference w:type="default" r:id="rId8"/>
      <w:footerReference w:type="first" r:id="rId9"/>
      <w:pgSz w:w="11907" w:h="16840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A7" w:rsidRDefault="00F17DA7">
      <w:r>
        <w:separator/>
      </w:r>
    </w:p>
  </w:endnote>
  <w:endnote w:type="continuationSeparator" w:id="1">
    <w:p w:rsidR="00F17DA7" w:rsidRDefault="00F1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DA7" w:rsidRDefault="00F17DA7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1</w:t>
    </w:r>
    <w:r>
      <w:rPr>
        <w:rFonts w:ascii="Arial" w:hAnsi="Arial" w:cs="Arial"/>
        <w:color w:val="0000FF"/>
        <w:sz w:val="18"/>
        <w:szCs w:val="18"/>
      </w:rPr>
      <w:t>20 (435)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13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 13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DA7" w:rsidRDefault="00F17DA7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1</w:t>
    </w:r>
    <w:r>
      <w:rPr>
        <w:rFonts w:ascii="Arial" w:hAnsi="Arial" w:cs="Arial"/>
        <w:color w:val="0000FF"/>
        <w:sz w:val="18"/>
        <w:szCs w:val="18"/>
      </w:rPr>
      <w:t>20 (435)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1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</w:t>
    </w:r>
    <w:r>
      <w:rPr>
        <w:rFonts w:ascii="Arial" w:hAnsi="Arial" w:cs="Arial"/>
        <w:color w:val="0000FF"/>
        <w:sz w:val="18"/>
        <w:szCs w:val="18"/>
        <w:lang w:val="en-US"/>
      </w:rPr>
      <w:t xml:space="preserve"> </w:t>
    </w:r>
    <w:r>
      <w:rPr>
        <w:rFonts w:ascii="Arial" w:hAnsi="Arial" w:cs="Arial"/>
        <w:color w:val="0000FF"/>
        <w:sz w:val="18"/>
        <w:szCs w:val="18"/>
      </w:rPr>
      <w:t>13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  <w:p w:rsidR="00F17DA7" w:rsidRDefault="00F17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A7" w:rsidRDefault="00F17DA7">
      <w:r>
        <w:separator/>
      </w:r>
    </w:p>
  </w:footnote>
  <w:footnote w:type="continuationSeparator" w:id="1">
    <w:p w:rsidR="00F17DA7" w:rsidRDefault="00F17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6DB"/>
    <w:rsid w:val="008416DB"/>
    <w:rsid w:val="00F1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4536"/>
      </w:tabs>
      <w:overflowPunct w:val="0"/>
      <w:autoSpaceDE w:val="0"/>
      <w:autoSpaceDN w:val="0"/>
      <w:adjustRightInd w:val="0"/>
      <w:spacing w:before="60" w:after="60" w:line="360" w:lineRule="auto"/>
      <w:ind w:firstLine="567"/>
      <w:jc w:val="both"/>
      <w:textAlignment w:val="baseline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spacing w:before="600" w:after="400"/>
      <w:ind w:left="850" w:hanging="425"/>
      <w:jc w:val="left"/>
      <w:outlineLvl w:val="0"/>
    </w:pPr>
    <w:rPr>
      <w:b/>
      <w:bCs/>
      <w:color w:val="0000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0" w:after="300"/>
      <w:ind w:left="992" w:hanging="425"/>
      <w:jc w:val="left"/>
      <w:outlineLvl w:val="1"/>
    </w:pPr>
    <w:rPr>
      <w:b/>
      <w:bCs/>
      <w:i/>
      <w:iCs/>
      <w:color w:val="008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/>
      <w:ind w:firstLine="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ind w:firstLine="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300"/>
      <w:ind w:firstLine="0"/>
      <w:jc w:val="center"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/>
      <w:ind w:firstLine="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/>
      <w:ind w:firstLine="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/>
      <w:ind w:firstLine="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/>
      <w:ind w:firstLine="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8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8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8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8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8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8D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8D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8D3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8D3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639"/>
      </w:tabs>
      <w:spacing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639"/>
      </w:tabs>
      <w:spacing w:before="0"/>
      <w:ind w:left="28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639"/>
      </w:tabs>
      <w:spacing w:before="0"/>
      <w:ind w:left="56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639"/>
      </w:tabs>
      <w:spacing w:before="0"/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639"/>
      </w:tabs>
      <w:spacing w:before="0"/>
      <w:ind w:left="1120"/>
      <w:jc w:val="left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9639"/>
      </w:tabs>
      <w:spacing w:before="0"/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9639"/>
      </w:tabs>
      <w:spacing w:before="0"/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9639"/>
      </w:tabs>
      <w:spacing w:before="0"/>
      <w:ind w:left="1960"/>
      <w:jc w:val="left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639"/>
      </w:tabs>
      <w:spacing w:before="0"/>
      <w:ind w:left="2240"/>
      <w:jc w:val="left"/>
    </w:pPr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238D3"/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8D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4;&#1073;&#1079;&#1086;&#1088;%20&#1086;&#1087;&#1088;&#1086;&#108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Обзор опроса.dot</Template>
  <TotalTime>0</TotalTime>
  <Pages>13</Pages>
  <Words>2795</Words>
  <Characters>15932</Characters>
  <Application>Microsoft Office Outlook</Application>
  <DocSecurity>0</DocSecurity>
  <Lines>0</Lines>
  <Paragraphs>0</Paragraphs>
  <ScaleCrop>false</ScaleCrop>
  <Company>Public Opinion Foundation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Темы:</dc:title>
  <dc:subject/>
  <dc:creator>Anna Danilova</dc:creator>
  <cp:keywords/>
  <dc:description/>
  <cp:lastModifiedBy>Rimskiy</cp:lastModifiedBy>
  <cp:revision>2</cp:revision>
  <cp:lastPrinted>1998-12-02T15:23:00Z</cp:lastPrinted>
  <dcterms:created xsi:type="dcterms:W3CDTF">2017-08-01T18:01:00Z</dcterms:created>
  <dcterms:modified xsi:type="dcterms:W3CDTF">2017-08-01T18:01:00Z</dcterms:modified>
</cp:coreProperties>
</file>