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E7" w:rsidRDefault="000A43E7">
      <w:pPr>
        <w:framePr w:w="5900" w:h="426" w:hSpace="180" w:wrap="auto" w:vAnchor="text" w:hAnchor="page" w:x="3316" w:y="268"/>
        <w:spacing w:before="0"/>
        <w:ind w:firstLine="0"/>
        <w:jc w:val="left"/>
        <w:rPr>
          <w:rFonts w:ascii="TimesET Cyr" w:hAnsi="TimesET Cyr" w:cs="TimesET Cyr"/>
          <w:b/>
          <w:bCs/>
          <w:color w:val="0000FF"/>
          <w:spacing w:val="20"/>
        </w:rPr>
      </w:pPr>
      <w:r>
        <w:rPr>
          <w:noProof/>
        </w:rPr>
        <w:pict>
          <v:line id="_x0000_s1026" style="position:absolute;flip:x y;z-index:-251663872" from="281.15pt,10.7pt" to="388.6pt,11.25pt" o:allowincell="f" strokecolor="red" strokeweight="6pt">
            <v:stroke startarrowwidth="narrow" startarrowlength="short" endarrowwidth="narrow" endarrowlength="short"/>
          </v:line>
        </w:pict>
      </w:r>
      <w:r>
        <w:rPr>
          <w:rFonts w:ascii="TimesET Cyr" w:hAnsi="TimesET Cyr" w:cs="TimesET Cyr"/>
          <w:b/>
          <w:bCs/>
          <w:color w:val="000000"/>
          <w:spacing w:val="20"/>
          <w:kern w:val="5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0"/>
          <w:kern w:val="56"/>
          <w:sz w:val="32"/>
          <w:szCs w:val="32"/>
        </w:rPr>
        <w:t xml:space="preserve"> Фонд “Общественное мнение”</w:t>
      </w:r>
    </w:p>
    <w:p w:rsidR="000A43E7" w:rsidRDefault="000A43E7">
      <w:pPr>
        <w:ind w:firstLine="142"/>
        <w:rPr>
          <w:rFonts w:ascii="TimesET Cyr" w:hAnsi="TimesET Cyr" w:cs="TimesET Cyr"/>
        </w:rPr>
      </w:pPr>
      <w:r>
        <w:rPr>
          <w:noProof/>
        </w:rPr>
        <w:pict>
          <v:rect id="_x0000_s1027" style="position:absolute;left:0;text-align:left;margin-left:123.25pt;margin-top:43.8pt;width:309.55pt;height:43.4pt;z-index:251662848" o:allowincell="f" fillcolor="#bfbfbf" stroked="f" strokeweight="1pt">
            <v:shadow on="t" color="black" offset="3.75pt,2.5pt"/>
            <v:textbox inset="1pt,1pt,1pt,1pt">
              <w:txbxContent>
                <w:p w:rsidR="000A43E7" w:rsidRDefault="000A43E7">
                  <w:pPr>
                    <w:spacing w:before="60" w:after="120"/>
                    <w:ind w:firstLine="0"/>
                    <w:jc w:val="center"/>
                    <w:rPr>
                      <w:rFonts w:ascii="AdverGothic Cyr" w:hAnsi="AdverGothic Cyr" w:cs="AdverGothic Cyr"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Серия “Социологические Сообщения”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8" style="position:absolute;left:0;text-align:left;flip:y;z-index:251658752" from=".85pt,7.95pt" to="50.1pt,8.1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29" style="position:absolute;left:0;text-align:left;margin-left:425.65pt;margin-top:-6.55pt;width:79.25pt;height:72.05pt;z-index:251661824" o:allowincell="f" fillcolor="#bfbfbf" stroked="f" strokeweight="1pt">
            <v:shadow on="t" color="black" offset="3.75pt,2.5pt"/>
            <v:textbox inset="1pt,1pt,1pt,1pt">
              <w:txbxContent>
                <w:p w:rsidR="000A43E7" w:rsidRDefault="000A43E7">
                  <w:pPr>
                    <w:spacing w:after="20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8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ноября</w:t>
                  </w:r>
                </w:p>
                <w:p w:rsidR="000A43E7" w:rsidRDefault="000A43E7">
                  <w:pPr>
                    <w:spacing w:before="40" w:after="20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1998</w:t>
                  </w:r>
                </w:p>
                <w:p w:rsidR="000A43E7" w:rsidRDefault="000A43E7">
                  <w:pPr>
                    <w:spacing w:before="0" w:after="120"/>
                    <w:ind w:firstLine="0"/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№ 113 (428)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left:0;text-align:left;margin-left:58.45pt;margin-top:35.15pt;width:21.65pt;height:7.25pt;flip:x;z-index:251660800" o:allowincell="f" filled="t" fillcolor="#bfbfbf" stroked="f" strokecolor="blue">
            <v:fill color2="fuchsia"/>
          </v:shape>
        </w:pict>
      </w:r>
      <w:r>
        <w:rPr>
          <w:noProof/>
        </w:rPr>
        <w:pict>
          <v:shape id="_x0000_s1031" type="#_x0000_t19" style="position:absolute;left:0;text-align:left;margin-left:22.45pt;margin-top:36.65pt;width:72.05pt;height:23.75pt;flip:x;z-index:251659776" o:allowincell="f" filled="t" fillcolor="#bfbfbf" stroked="f" strokecolor="blue">
            <v:fill color2="fuchsia"/>
          </v:shape>
        </w:pict>
      </w:r>
      <w:r>
        <w:rPr>
          <w:noProof/>
        </w:rPr>
        <w:pict>
          <v:oval id="_x0000_s1032" style="position:absolute;left:0;text-align:left;margin-left:-6.35pt;margin-top:22.25pt;width:381.65pt;height:136.95pt;z-index:-251664896" o:allowincell="f" fillcolor="#bfbfbf" stroked="f" strokecolor="white" strokeweight="6pt"/>
        </w:pict>
      </w:r>
      <w:r>
        <w:rPr>
          <w:noProof/>
        </w:rPr>
        <w:pict>
          <v:line id="_x0000_s1033" style="position:absolute;left:0;text-align:left;z-index:251656704" from="61.45pt,7.85pt" to="411.4pt,8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4" style="position:absolute;left:0;text-align:left;flip:x;z-index:251657728" from="80.05pt,25.25pt" to="113.7pt,25.55pt" o:allowincell="f" strokecolor="red" strokeweight="6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5" style="position:absolute;left:0;text-align:left;flip:x;z-index:251655680" from="-20.75pt,25.5pt" to=".9pt,25.55pt" o:allowincell="f" strokecolor="red" strokeweight="6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6" style="position:absolute;left:0;text-align:left;z-index:251654656" from="431.3pt,29.55pt" to="497.8pt,29.6pt" o:allowincell="f" stroked="f" strokecolor="red" strokeweight="2pt">
            <v:stroke startarrowwidth="narrow" startarrowlength="short" endarrowwidth="narrow" endarrowlength="short"/>
            <v:shadow on="t" color="black" offset="3.75pt,2.5pt"/>
          </v:line>
        </w:pict>
      </w:r>
      <w:r>
        <w:rPr>
          <w:rFonts w:ascii="TimesET Cyr" w:hAnsi="TimesET Cyr" w:cs="TimesET Cyr"/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45.6pt" o:borderbottomcolor="white" o:borderrightcolor="white">
            <v:imagedata r:id="rId7" o:title=""/>
            <w10:borderbottom type="single" width="6"/>
            <w10:borderright type="single" width="6"/>
          </v:shape>
        </w:pict>
      </w:r>
      <w:r>
        <w:rPr>
          <w:rFonts w:ascii="TimesET Cyr" w:hAnsi="TimesET Cyr" w:cs="TimesET Cyr"/>
          <w:color w:val="0000FF"/>
        </w:rPr>
        <w:t xml:space="preserve">   </w:t>
      </w:r>
    </w:p>
    <w:p w:rsidR="000A43E7" w:rsidRDefault="000A43E7">
      <w:pPr>
        <w:rPr>
          <w:rFonts w:ascii="TimesET Cyr" w:hAnsi="TimesET Cyr" w:cs="TimesET Cyr"/>
        </w:rPr>
        <w:sectPr w:rsidR="000A43E7">
          <w:footerReference w:type="default" r:id="rId8"/>
          <w:footerReference w:type="first" r:id="rId9"/>
          <w:type w:val="continuous"/>
          <w:pgSz w:w="11907" w:h="16840" w:code="9"/>
          <w:pgMar w:top="851" w:right="851" w:bottom="1134" w:left="1134" w:header="567" w:footer="939" w:gutter="0"/>
          <w:cols w:num="2" w:sep="1" w:space="720"/>
          <w:titlePg/>
        </w:sectPr>
      </w:pPr>
    </w:p>
    <w:p w:rsidR="000A43E7" w:rsidRDefault="000A43E7">
      <w:pPr>
        <w:rPr>
          <w:rFonts w:ascii="TimesET Cyr" w:hAnsi="TimesET Cyr" w:cs="TimesET Cyr"/>
        </w:rPr>
      </w:pPr>
      <w:r>
        <w:rPr>
          <w:noProof/>
        </w:rPr>
        <w:pict>
          <v:roundrect id="_x0000_s1037" style="position:absolute;left:0;text-align:left;margin-left:22pt;margin-top:17.2pt;width:288.5pt;height:86.3pt;z-index:251663872" arcsize="10923f" o:allowincell="f" fillcolor="blue" strokecolor="white" strokeweight="1pt">
            <v:shadow on="t" color="black" offset="3.75pt,2.5pt"/>
            <v:textbox inset="1pt,1pt,1pt,1pt">
              <w:txbxContent>
                <w:p w:rsidR="000A43E7" w:rsidRDefault="000A43E7">
                  <w:pPr>
                    <w:spacing w:before="180" w:after="20"/>
                    <w:ind w:firstLine="0"/>
                    <w:jc w:val="center"/>
                    <w:rPr>
                      <w:rFonts w:ascii="TimesET Cyr" w:hAnsi="TimesET Cyr" w:cs="TimesET Cyr"/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  <w:t>Региональная информационная элита: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  <w:t>задачи законодательной власти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  <w:br/>
                    <w:t xml:space="preserve">в области взаимоотношений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  <w:br/>
                    <w:t>центра и регионов</w:t>
                  </w:r>
                </w:p>
              </w:txbxContent>
            </v:textbox>
          </v:roundrect>
        </w:pict>
      </w:r>
      <w:r>
        <w:rPr>
          <w:noProof/>
        </w:rPr>
        <w:pict>
          <v:line id="_x0000_s1038" style="position:absolute;left:0;text-align:left;flip:y;z-index:251653632" from="8.6pt,5.65pt" to="506.7pt,122.35pt" o:allowincell="f" strokecolor="red" strokeweight="6pt">
            <v:stroke startarrowwidth="narrow" startarrowlength="short" endarrowwidth="narrow" endarrowlength="short"/>
          </v:line>
        </w:pict>
      </w:r>
    </w:p>
    <w:p w:rsidR="000A43E7" w:rsidRDefault="000A43E7">
      <w:pPr>
        <w:rPr>
          <w:rFonts w:ascii="TimesET Cyr" w:hAnsi="TimesET Cyr" w:cs="TimesET Cyr"/>
        </w:rPr>
      </w:pPr>
    </w:p>
    <w:p w:rsidR="000A43E7" w:rsidRDefault="000A43E7">
      <w:pPr>
        <w:rPr>
          <w:rFonts w:ascii="TimesET Cyr" w:hAnsi="TimesET Cyr" w:cs="TimesET Cyr"/>
        </w:rPr>
      </w:pPr>
    </w:p>
    <w:p w:rsidR="000A43E7" w:rsidRDefault="000A43E7">
      <w:pPr>
        <w:rPr>
          <w:rFonts w:ascii="TimesET Cyr" w:hAnsi="TimesET Cyr" w:cs="TimesET Cyr"/>
        </w:rPr>
      </w:pPr>
    </w:p>
    <w:p w:rsidR="000A43E7" w:rsidRDefault="000A43E7">
      <w:pPr>
        <w:rPr>
          <w:rFonts w:ascii="TimesET" w:hAnsi="TimesET" w:cs="TimesET"/>
          <w:sz w:val="8"/>
          <w:szCs w:val="8"/>
          <w:lang w:val="en-US"/>
        </w:rPr>
      </w:pPr>
    </w:p>
    <w:p w:rsidR="000A43E7" w:rsidRDefault="000A43E7">
      <w:pPr>
        <w:rPr>
          <w:rFonts w:ascii="TimesET" w:hAnsi="TimesET" w:cs="TimesET"/>
          <w:sz w:val="8"/>
          <w:szCs w:val="8"/>
          <w:lang w:val="en-US"/>
        </w:rPr>
      </w:pPr>
    </w:p>
    <w:p w:rsidR="000A43E7" w:rsidRDefault="000A43E7">
      <w:pPr>
        <w:rPr>
          <w:rFonts w:ascii="TimesET Cyr" w:hAnsi="TimesET Cyr" w:cs="TimesET Cyr"/>
          <w:sz w:val="8"/>
          <w:szCs w:val="8"/>
        </w:rPr>
        <w:sectPr w:rsidR="000A43E7">
          <w:type w:val="continuous"/>
          <w:pgSz w:w="11907" w:h="16840" w:code="9"/>
          <w:pgMar w:top="851" w:right="851" w:bottom="1134" w:left="1134" w:header="567" w:footer="939" w:gutter="0"/>
          <w:cols w:sep="1" w:space="720"/>
          <w:titlePg/>
        </w:sectPr>
      </w:pPr>
    </w:p>
    <w:p w:rsidR="000A43E7" w:rsidRDefault="000A43E7">
      <w:pPr>
        <w:jc w:val="center"/>
        <w:rPr>
          <w:rFonts w:ascii="TimesET Cyr" w:hAnsi="TimesET Cyr" w:cs="TimesET Cyr"/>
          <w:b/>
          <w:bCs/>
          <w:sz w:val="6"/>
          <w:szCs w:val="6"/>
        </w:rPr>
      </w:pPr>
    </w:p>
    <w:p w:rsidR="000A43E7" w:rsidRDefault="000A43E7">
      <w:pPr>
        <w:jc w:val="center"/>
        <w:rPr>
          <w:rFonts w:ascii="TimesET Cyr" w:hAnsi="TimesET Cyr" w:cs="TimesET Cyr"/>
          <w:b/>
          <w:bCs/>
          <w:sz w:val="6"/>
          <w:szCs w:val="6"/>
        </w:rPr>
        <w:sectPr w:rsidR="000A43E7">
          <w:type w:val="continuous"/>
          <w:pgSz w:w="11907" w:h="16840" w:code="9"/>
          <w:pgMar w:top="851" w:right="851" w:bottom="1134" w:left="1134" w:header="567" w:footer="939" w:gutter="0"/>
          <w:cols w:num="2" w:sep="1" w:space="720"/>
          <w:titlePg/>
        </w:sectPr>
      </w:pPr>
    </w:p>
    <w:p w:rsidR="000A43E7" w:rsidRDefault="000A43E7">
      <w:pPr>
        <w:jc w:val="center"/>
        <w:rPr>
          <w:rFonts w:ascii="TimesET Cyr" w:hAnsi="TimesET Cyr" w:cs="TimesET Cyr"/>
          <w:b/>
          <w:bCs/>
          <w:sz w:val="6"/>
          <w:szCs w:val="6"/>
        </w:rPr>
      </w:pPr>
    </w:p>
    <w:p w:rsidR="000A43E7" w:rsidRDefault="000A43E7">
      <w:pPr>
        <w:keepNext/>
        <w:framePr w:dropCap="drop" w:lines="2" w:wrap="auto" w:vAnchor="text" w:hAnchor="text"/>
        <w:spacing w:line="662" w:lineRule="exact"/>
        <w:ind w:firstLine="0"/>
        <w:rPr>
          <w:rFonts w:ascii="Arial" w:hAnsi="Arial" w:cs="Arial"/>
          <w:b/>
          <w:bCs/>
          <w:color w:val="0000FF"/>
          <w:position w:val="-6"/>
          <w:sz w:val="76"/>
          <w:szCs w:val="76"/>
        </w:rPr>
      </w:pPr>
      <w:r>
        <w:rPr>
          <w:rFonts w:ascii="Arial" w:hAnsi="Arial" w:cs="Arial"/>
          <w:b/>
          <w:bCs/>
          <w:color w:val="0000FF"/>
          <w:position w:val="-6"/>
          <w:sz w:val="76"/>
          <w:szCs w:val="76"/>
        </w:rPr>
        <w:t>И</w:t>
      </w:r>
    </w:p>
    <w:p w:rsidR="000A43E7" w:rsidRDefault="000A43E7">
      <w:pPr>
        <w:ind w:firstLine="0"/>
        <w:rPr>
          <w:rFonts w:ascii="TimesET Cyr" w:hAnsi="TimesET Cyr" w:cs="TimesET Cyr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сточник данных</w:t>
      </w:r>
    </w:p>
    <w:p w:rsidR="000A43E7" w:rsidRDefault="000A43E7">
      <w:pPr>
        <w:spacing w:before="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Стандартизованные телефонные интервью, проведенные с 15 по 25 октября 1998 г. в 9 регионах Европейской части РФ. </w:t>
      </w:r>
    </w:p>
    <w:p w:rsidR="000A43E7" w:rsidRDefault="000A43E7">
      <w:pPr>
        <w:rPr>
          <w:sz w:val="24"/>
          <w:szCs w:val="24"/>
        </w:rPr>
      </w:pPr>
      <w:r>
        <w:rPr>
          <w:sz w:val="24"/>
          <w:szCs w:val="24"/>
        </w:rPr>
        <w:t>В опросе принимали участие руководители и ведущие аналитики региональных СМИ – 90 экспертов.</w:t>
      </w:r>
    </w:p>
    <w:p w:rsidR="000A43E7" w:rsidRDefault="000A43E7">
      <w:pPr>
        <w:rPr>
          <w:i/>
          <w:iCs/>
          <w:sz w:val="24"/>
          <w:szCs w:val="24"/>
        </w:rPr>
      </w:pPr>
      <w:r>
        <w:rPr>
          <w:sz w:val="24"/>
          <w:szCs w:val="24"/>
        </w:rPr>
        <w:t>Эксперты в свободной форме отвечали на два вопроса:</w:t>
      </w:r>
    </w:p>
    <w:p w:rsidR="000A43E7" w:rsidRDefault="000A43E7" w:rsidP="005C6E07">
      <w:pPr>
        <w:numPr>
          <w:ilvl w:val="0"/>
          <w:numId w:val="1"/>
        </w:numPr>
        <w:rPr>
          <w:i/>
          <w:iCs/>
          <w:color w:val="800000"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i/>
          <w:iCs/>
          <w:color w:val="800000"/>
          <w:sz w:val="24"/>
          <w:szCs w:val="24"/>
        </w:rPr>
        <w:t xml:space="preserve">На решение каких вопросов, проблем взаимоотношений федерального центра и регионов, по Вашему мнению, должен направить свои усилия </w:t>
      </w:r>
      <w:r>
        <w:rPr>
          <w:b/>
          <w:bCs/>
          <w:i/>
          <w:iCs/>
          <w:color w:val="800000"/>
          <w:sz w:val="24"/>
          <w:szCs w:val="24"/>
        </w:rPr>
        <w:t xml:space="preserve">Государственная Дума </w:t>
      </w:r>
      <w:r>
        <w:rPr>
          <w:i/>
          <w:iCs/>
          <w:color w:val="800000"/>
          <w:sz w:val="24"/>
          <w:szCs w:val="24"/>
        </w:rPr>
        <w:t>в ближайший месяц?</w:t>
      </w:r>
    </w:p>
    <w:p w:rsidR="000A43E7" w:rsidRDefault="000A43E7" w:rsidP="005C6E07">
      <w:pPr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i/>
          <w:iCs/>
          <w:color w:val="800000"/>
          <w:sz w:val="24"/>
          <w:szCs w:val="24"/>
        </w:rPr>
        <w:t xml:space="preserve"> На решение каких вопросов, проблем взаимоотношений федерального центра и регионов, по Вашему мнению, должно направить свои усилия </w:t>
      </w:r>
      <w:r>
        <w:rPr>
          <w:b/>
          <w:bCs/>
          <w:i/>
          <w:iCs/>
          <w:color w:val="800000"/>
          <w:sz w:val="24"/>
          <w:szCs w:val="24"/>
        </w:rPr>
        <w:t xml:space="preserve">Совет Федерации </w:t>
      </w:r>
      <w:r>
        <w:rPr>
          <w:i/>
          <w:iCs/>
          <w:color w:val="800000"/>
          <w:sz w:val="24"/>
          <w:szCs w:val="24"/>
        </w:rPr>
        <w:t>в ближайший месяц?</w:t>
      </w:r>
    </w:p>
    <w:p w:rsidR="000A43E7" w:rsidRDefault="000A43E7" w:rsidP="005C6E07">
      <w:pPr>
        <w:numPr>
          <w:ilvl w:val="12"/>
          <w:numId w:val="0"/>
        </w:numPr>
        <w:ind w:firstLine="425"/>
        <w:rPr>
          <w:i/>
          <w:iCs/>
          <w:sz w:val="24"/>
          <w:szCs w:val="24"/>
        </w:rPr>
      </w:pPr>
    </w:p>
    <w:p w:rsidR="000A43E7" w:rsidRDefault="000A43E7" w:rsidP="005C6E07">
      <w:pPr>
        <w:keepNext/>
        <w:framePr w:dropCap="drop" w:lines="2" w:wrap="auto" w:vAnchor="text" w:hAnchor="text"/>
        <w:numPr>
          <w:ilvl w:val="12"/>
          <w:numId w:val="0"/>
        </w:numPr>
        <w:spacing w:line="902" w:lineRule="exact"/>
        <w:rPr>
          <w:rFonts w:ascii="Arial" w:hAnsi="Arial" w:cs="Arial"/>
          <w:b/>
          <w:bCs/>
          <w:color w:val="0000FF"/>
          <w:sz w:val="93"/>
          <w:szCs w:val="93"/>
        </w:rPr>
      </w:pPr>
      <w:r>
        <w:rPr>
          <w:rFonts w:ascii="Arial" w:hAnsi="Arial" w:cs="Arial"/>
          <w:b/>
          <w:bCs/>
          <w:color w:val="0000FF"/>
          <w:sz w:val="93"/>
          <w:szCs w:val="93"/>
        </w:rPr>
        <w:t>П</w:t>
      </w:r>
    </w:p>
    <w:p w:rsidR="000A43E7" w:rsidRDefault="000A43E7" w:rsidP="005C6E07">
      <w:pPr>
        <w:numPr>
          <w:ilvl w:val="12"/>
          <w:numId w:val="0"/>
        </w:numPr>
        <w:spacing w:after="120"/>
        <w:rPr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ринципы анализа</w:t>
      </w:r>
    </w:p>
    <w:p w:rsidR="000A43E7" w:rsidRDefault="000A43E7" w:rsidP="005C6E07">
      <w:pPr>
        <w:numPr>
          <w:ilvl w:val="12"/>
          <w:numId w:val="0"/>
        </w:numPr>
        <w:spacing w:before="40"/>
      </w:pPr>
      <w:r>
        <w:t>В</w:t>
      </w:r>
      <w:r>
        <w:rPr>
          <w:spacing w:val="-2"/>
        </w:rPr>
        <w:t xml:space="preserve"> качестве исходного элемента наблюдения было взято </w:t>
      </w:r>
      <w:r>
        <w:rPr>
          <w:i/>
          <w:iCs/>
          <w:color w:val="800000"/>
          <w:spacing w:val="-2"/>
        </w:rPr>
        <w:t>высказывание</w:t>
      </w:r>
      <w:r>
        <w:rPr>
          <w:spacing w:val="-2"/>
        </w:rPr>
        <w:t>  – ответ одного эксперта на один вопрос.</w:t>
      </w:r>
    </w:p>
    <w:p w:rsidR="000A43E7" w:rsidRDefault="000A43E7" w:rsidP="005C6E07">
      <w:pPr>
        <w:numPr>
          <w:ilvl w:val="12"/>
          <w:numId w:val="0"/>
        </w:numPr>
        <w:ind w:firstLine="425"/>
      </w:pPr>
      <w:r>
        <w:t xml:space="preserve">За единицу анализа было принято </w:t>
      </w:r>
      <w:r>
        <w:rPr>
          <w:i/>
          <w:iCs/>
          <w:color w:val="800000"/>
        </w:rPr>
        <w:t>суждение</w:t>
      </w:r>
      <w:r>
        <w:t xml:space="preserve"> – часть высказывания, логически завершенная и тематически самостоятельная.</w:t>
      </w:r>
    </w:p>
    <w:p w:rsidR="000A43E7" w:rsidRDefault="000A43E7" w:rsidP="005C6E07">
      <w:pPr>
        <w:numPr>
          <w:ilvl w:val="12"/>
          <w:numId w:val="0"/>
        </w:numPr>
        <w:ind w:firstLine="425"/>
      </w:pPr>
      <w:r>
        <w:t>Частотный анализ проводился на основании тематического и смыслового сходства суждений, содержащихся в высказываниях всех экспертов.</w:t>
      </w:r>
    </w:p>
    <w:p w:rsidR="000A43E7" w:rsidRDefault="000A43E7" w:rsidP="005C6E07">
      <w:pPr>
        <w:numPr>
          <w:ilvl w:val="12"/>
          <w:numId w:val="0"/>
        </w:numPr>
        <w:ind w:firstLine="425"/>
        <w:rPr>
          <w:color w:val="008000"/>
        </w:rPr>
      </w:pPr>
      <w:r>
        <w:rPr>
          <w:i/>
          <w:iCs/>
          <w:color w:val="008000"/>
        </w:rPr>
        <w:t>Результаты приведены в процентах от общего числа суждений по каждому вопросу. Для одиночных суждений проценты не приводятся.</w:t>
      </w:r>
    </w:p>
    <w:p w:rsidR="000A43E7" w:rsidRDefault="000A43E7" w:rsidP="005C6E07">
      <w:pPr>
        <w:numPr>
          <w:ilvl w:val="12"/>
          <w:numId w:val="0"/>
        </w:numPr>
        <w:ind w:firstLine="425"/>
        <w:rPr>
          <w:color w:val="008000"/>
        </w:rPr>
      </w:pPr>
    </w:p>
    <w:p w:rsidR="000A43E7" w:rsidRDefault="000A43E7" w:rsidP="005C6E07">
      <w:pPr>
        <w:keepNext/>
        <w:framePr w:dropCap="drop" w:lines="2" w:wrap="auto" w:vAnchor="text" w:hAnchor="text"/>
        <w:numPr>
          <w:ilvl w:val="12"/>
          <w:numId w:val="0"/>
        </w:numPr>
        <w:spacing w:line="902" w:lineRule="exact"/>
        <w:rPr>
          <w:rFonts w:ascii="Arial" w:hAnsi="Arial" w:cs="Arial"/>
          <w:b/>
          <w:bCs/>
          <w:color w:val="0000FF"/>
          <w:sz w:val="93"/>
          <w:szCs w:val="93"/>
        </w:rPr>
      </w:pPr>
      <w:r>
        <w:rPr>
          <w:rFonts w:ascii="Arial" w:hAnsi="Arial" w:cs="Arial"/>
          <w:b/>
          <w:bCs/>
          <w:color w:val="0000FF"/>
          <w:sz w:val="93"/>
          <w:szCs w:val="93"/>
        </w:rPr>
        <w:t>Р</w:t>
      </w:r>
    </w:p>
    <w:p w:rsidR="000A43E7" w:rsidRDefault="000A43E7" w:rsidP="005C6E07">
      <w:pPr>
        <w:numPr>
          <w:ilvl w:val="12"/>
          <w:numId w:val="0"/>
        </w:numPr>
        <w:spacing w:after="120"/>
        <w:rPr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езультаты</w:t>
      </w:r>
    </w:p>
    <w:p w:rsidR="000A43E7" w:rsidRDefault="000A43E7" w:rsidP="005C6E07">
      <w:pPr>
        <w:numPr>
          <w:ilvl w:val="12"/>
          <w:numId w:val="0"/>
        </w:numPr>
        <w:spacing w:before="40"/>
        <w:rPr>
          <w:spacing w:val="-10"/>
        </w:rPr>
      </w:pPr>
      <w:r>
        <w:rPr>
          <w:b/>
          <w:bCs/>
          <w:lang w:val="en-US"/>
        </w:rPr>
        <w:t>I</w:t>
      </w:r>
      <w:r>
        <w:rPr>
          <w:b/>
          <w:bCs/>
        </w:rPr>
        <w:t>.</w:t>
      </w:r>
      <w:r>
        <w:t xml:space="preserve"> </w:t>
      </w:r>
      <w:r>
        <w:rPr>
          <w:spacing w:val="-10"/>
        </w:rPr>
        <w:t xml:space="preserve">Для анализа ответов на </w:t>
      </w:r>
      <w:r>
        <w:rPr>
          <w:b/>
          <w:bCs/>
          <w:color w:val="000080"/>
          <w:spacing w:val="-10"/>
        </w:rPr>
        <w:t>первый вопрос</w:t>
      </w:r>
      <w:r>
        <w:rPr>
          <w:spacing w:val="-10"/>
        </w:rPr>
        <w:t xml:space="preserve"> были отобраны 130 суждений.</w:t>
      </w:r>
    </w:p>
    <w:p w:rsidR="000A43E7" w:rsidRDefault="000A43E7" w:rsidP="005C6E07">
      <w:pPr>
        <w:numPr>
          <w:ilvl w:val="12"/>
          <w:numId w:val="0"/>
        </w:numPr>
        <w:spacing w:before="80"/>
        <w:ind w:firstLine="425"/>
      </w:pPr>
      <w:r>
        <w:t xml:space="preserve">По мнению опрошенных, при рассмотрении проблем взаимоотношений федерального центра и регионов </w:t>
      </w:r>
      <w:r>
        <w:rPr>
          <w:color w:val="008000"/>
        </w:rPr>
        <w:t>Государственная Дума</w:t>
      </w:r>
      <w:r>
        <w:t xml:space="preserve"> должна руководствоваться следующими задачами:</w:t>
      </w:r>
    </w:p>
    <w:p w:rsidR="000A43E7" w:rsidRDefault="000A43E7" w:rsidP="005C6E07">
      <w:pPr>
        <w:numPr>
          <w:ilvl w:val="0"/>
          <w:numId w:val="2"/>
        </w:numPr>
      </w:pPr>
      <w:r>
        <w:rPr>
          <w:i/>
          <w:iCs/>
          <w:color w:val="800000"/>
        </w:rPr>
        <w:t xml:space="preserve"> Решить проблему межбюджетных отношений:</w:t>
      </w:r>
      <w:r>
        <w:t xml:space="preserve"> определить, какая часть региональных налогов должна идти в федеральный бюджет</w:t>
      </w:r>
      <w:r>
        <w:rPr>
          <w:i/>
          <w:iCs/>
          <w:color w:val="800000"/>
        </w:rPr>
        <w:t xml:space="preserve"> </w:t>
      </w:r>
      <w:r>
        <w:t>(16%).</w:t>
      </w:r>
      <w:r>
        <w:rPr>
          <w:i/>
          <w:iCs/>
          <w:color w:val="800000"/>
        </w:rPr>
        <w:t xml:space="preserve"> </w:t>
      </w:r>
    </w:p>
    <w:p w:rsidR="000A43E7" w:rsidRDefault="000A43E7" w:rsidP="005C6E07">
      <w:pPr>
        <w:numPr>
          <w:ilvl w:val="0"/>
          <w:numId w:val="2"/>
        </w:numPr>
      </w:pPr>
      <w:r>
        <w:rPr>
          <w:i/>
          <w:iCs/>
          <w:color w:val="800000"/>
        </w:rPr>
        <w:t xml:space="preserve"> Развивать сотрудничество с Президентом и Правительством,</w:t>
      </w:r>
      <w:r>
        <w:t xml:space="preserve"> обеспечить законодательную поддержку деятельности Правительства и совместное участие ветвей власти в законотворческой деятельности (15%).</w:t>
      </w:r>
    </w:p>
    <w:p w:rsidR="000A43E7" w:rsidRDefault="000A43E7" w:rsidP="005C6E07">
      <w:pPr>
        <w:numPr>
          <w:ilvl w:val="0"/>
          <w:numId w:val="2"/>
        </w:numPr>
      </w:pPr>
      <w:r>
        <w:rPr>
          <w:i/>
          <w:iCs/>
          <w:color w:val="800000"/>
        </w:rPr>
        <w:t xml:space="preserve"> Разработать законодательную базу организации государственной власти: </w:t>
      </w:r>
      <w:r>
        <w:t>укрепить вертикаль исполнительной власти, четко разграничить и законодательно закрепить полномочия и сферы ответственности сторон, разработать систему мер и санкций (13%).</w:t>
      </w:r>
    </w:p>
    <w:p w:rsidR="000A43E7" w:rsidRDefault="000A43E7" w:rsidP="005C6E07">
      <w:pPr>
        <w:numPr>
          <w:ilvl w:val="0"/>
          <w:numId w:val="2"/>
        </w:numPr>
        <w:spacing w:before="80"/>
      </w:pPr>
      <w:r>
        <w:rPr>
          <w:i/>
          <w:iCs/>
          <w:color w:val="800000"/>
        </w:rPr>
        <w:t xml:space="preserve"> Разработать и реализовать антикризисные меры экономического характера</w:t>
      </w:r>
      <w:r>
        <w:rPr>
          <w:i/>
          <w:iCs/>
        </w:rPr>
        <w:t>:</w:t>
      </w:r>
      <w:r>
        <w:t xml:space="preserve"> поддержать отечественную промышленность, привлечь инвестиции и т.д. (10%).</w:t>
      </w:r>
    </w:p>
    <w:p w:rsidR="000A43E7" w:rsidRDefault="000A43E7" w:rsidP="005C6E07">
      <w:pPr>
        <w:numPr>
          <w:ilvl w:val="0"/>
          <w:numId w:val="2"/>
        </w:numPr>
      </w:pPr>
      <w:r>
        <w:t xml:space="preserve"> </w:t>
      </w:r>
      <w:r>
        <w:rPr>
          <w:i/>
          <w:iCs/>
          <w:color w:val="800000"/>
        </w:rPr>
        <w:t>Заниматься текущей работой</w:t>
      </w:r>
      <w:r>
        <w:t xml:space="preserve"> (6%).</w:t>
      </w:r>
    </w:p>
    <w:p w:rsidR="000A43E7" w:rsidRDefault="000A43E7" w:rsidP="005C6E07">
      <w:pPr>
        <w:numPr>
          <w:ilvl w:val="0"/>
          <w:numId w:val="2"/>
        </w:numPr>
      </w:pPr>
      <w:r>
        <w:rPr>
          <w:i/>
          <w:iCs/>
          <w:color w:val="800000"/>
        </w:rPr>
        <w:t xml:space="preserve"> Прислушиваться к инициативам регионов </w:t>
      </w:r>
      <w:r>
        <w:t>(6%).</w:t>
      </w:r>
    </w:p>
    <w:p w:rsidR="000A43E7" w:rsidRDefault="000A43E7" w:rsidP="005C6E07">
      <w:pPr>
        <w:numPr>
          <w:ilvl w:val="0"/>
          <w:numId w:val="2"/>
        </w:numPr>
      </w:pPr>
      <w:r>
        <w:t xml:space="preserve"> </w:t>
      </w:r>
      <w:r>
        <w:rPr>
          <w:i/>
          <w:iCs/>
          <w:color w:val="800000"/>
        </w:rPr>
        <w:t xml:space="preserve">Устранить противоречия российской конституции и местных законодательных актов </w:t>
      </w:r>
      <w:r>
        <w:t>(5%).</w:t>
      </w:r>
    </w:p>
    <w:p w:rsidR="000A43E7" w:rsidRDefault="000A43E7" w:rsidP="005C6E07">
      <w:pPr>
        <w:numPr>
          <w:ilvl w:val="0"/>
          <w:numId w:val="2"/>
        </w:numPr>
      </w:pPr>
      <w:r>
        <w:rPr>
          <w:i/>
          <w:iCs/>
          <w:color w:val="800000"/>
        </w:rPr>
        <w:t xml:space="preserve"> Разработать условия и механизмы смещения губернаторов </w:t>
      </w:r>
      <w:r>
        <w:t>(5%).</w:t>
      </w:r>
    </w:p>
    <w:p w:rsidR="000A43E7" w:rsidRDefault="000A43E7" w:rsidP="005C6E07">
      <w:pPr>
        <w:numPr>
          <w:ilvl w:val="0"/>
          <w:numId w:val="1"/>
        </w:numPr>
        <w:spacing w:before="80"/>
        <w:rPr>
          <w:color w:val="800000"/>
        </w:rPr>
      </w:pPr>
      <w:r>
        <w:rPr>
          <w:i/>
          <w:iCs/>
          <w:color w:val="800000"/>
        </w:rPr>
        <w:t xml:space="preserve"> Одиночные суждения</w:t>
      </w:r>
      <w:r>
        <w:t xml:space="preserve">: </w:t>
      </w:r>
      <w:r>
        <w:rPr>
          <w:color w:val="000000"/>
        </w:rPr>
        <w:t xml:space="preserve">вести работу по стабилизации финансовой системы РФ; добиваться отставки Б.Ельцина; добиваться равноправия субъектов РФ; </w:t>
      </w:r>
      <w:r>
        <w:t>контролировать решение проблем Северного Кавказа;</w:t>
      </w:r>
      <w:r>
        <w:rPr>
          <w:color w:val="000000"/>
        </w:rPr>
        <w:t xml:space="preserve"> не принимать невыполнимые законы; принять закон о территориальной целостности России; принять земельный кодекс; работать над бюджетом 1999 г.</w:t>
      </w:r>
    </w:p>
    <w:p w:rsidR="000A43E7" w:rsidRDefault="000A43E7" w:rsidP="005C6E07">
      <w:pPr>
        <w:numPr>
          <w:ilvl w:val="12"/>
          <w:numId w:val="0"/>
        </w:numPr>
        <w:ind w:firstLine="425"/>
      </w:pPr>
    </w:p>
    <w:p w:rsidR="000A43E7" w:rsidRDefault="000A43E7" w:rsidP="005C6E07">
      <w:pPr>
        <w:numPr>
          <w:ilvl w:val="12"/>
          <w:numId w:val="0"/>
        </w:numPr>
        <w:ind w:firstLine="425"/>
      </w:pPr>
      <w:r>
        <w:rPr>
          <w:b/>
          <w:bCs/>
          <w:lang w:val="en-US"/>
        </w:rPr>
        <w:t>II</w:t>
      </w:r>
      <w:r>
        <w:rPr>
          <w:b/>
          <w:bCs/>
        </w:rPr>
        <w:t xml:space="preserve">. </w:t>
      </w:r>
      <w:r>
        <w:t xml:space="preserve">Для анализа ответов на </w:t>
      </w:r>
      <w:r>
        <w:rPr>
          <w:b/>
          <w:bCs/>
          <w:color w:val="000080"/>
        </w:rPr>
        <w:t>второй вопрос</w:t>
      </w:r>
      <w:r>
        <w:t xml:space="preserve"> были отобрано 101 суждение.</w:t>
      </w:r>
    </w:p>
    <w:p w:rsidR="000A43E7" w:rsidRDefault="000A43E7" w:rsidP="005C6E07">
      <w:pPr>
        <w:numPr>
          <w:ilvl w:val="12"/>
          <w:numId w:val="0"/>
        </w:numPr>
        <w:spacing w:before="80"/>
        <w:ind w:firstLine="425"/>
      </w:pPr>
      <w:r>
        <w:t xml:space="preserve">По мнению опрошенных, при рассмотрении проблем взаимоотношений федерального центра и регионов </w:t>
      </w:r>
      <w:r>
        <w:rPr>
          <w:color w:val="008000"/>
        </w:rPr>
        <w:t>Совет Федерации</w:t>
      </w:r>
      <w:r>
        <w:t xml:space="preserve"> должен руководствоваться следующими задачами:</w:t>
      </w:r>
    </w:p>
    <w:p w:rsidR="000A43E7" w:rsidRDefault="000A43E7" w:rsidP="005C6E07">
      <w:pPr>
        <w:numPr>
          <w:ilvl w:val="0"/>
          <w:numId w:val="2"/>
        </w:numPr>
      </w:pPr>
      <w:r>
        <w:rPr>
          <w:i/>
          <w:iCs/>
          <w:color w:val="800000"/>
        </w:rPr>
        <w:t xml:space="preserve"> Разработка законодательной базы организации государственной власти: </w:t>
      </w:r>
      <w:r>
        <w:t>необходимо укрепить вертикаль исполнительной власти, четко разграничив и законодательно закрепив полномочия и сферы ответственности сторон, разработать систему мер и санкций (18%).</w:t>
      </w:r>
    </w:p>
    <w:p w:rsidR="000A43E7" w:rsidRDefault="000A43E7" w:rsidP="005C6E07">
      <w:pPr>
        <w:numPr>
          <w:ilvl w:val="0"/>
          <w:numId w:val="2"/>
        </w:numPr>
      </w:pPr>
      <w:r>
        <w:rPr>
          <w:i/>
          <w:iCs/>
          <w:color w:val="800000"/>
        </w:rPr>
        <w:t xml:space="preserve"> Постоянная работа, направленная на преодоление центробежных тенденций</w:t>
      </w:r>
      <w:r>
        <w:t xml:space="preserve"> (16%).</w:t>
      </w:r>
    </w:p>
    <w:p w:rsidR="000A43E7" w:rsidRDefault="000A43E7" w:rsidP="005C6E07">
      <w:pPr>
        <w:numPr>
          <w:ilvl w:val="0"/>
          <w:numId w:val="2"/>
        </w:numPr>
      </w:pPr>
      <w:r>
        <w:rPr>
          <w:i/>
          <w:iCs/>
          <w:color w:val="800000"/>
        </w:rPr>
        <w:t xml:space="preserve"> Обсуждение региональных проблем в контексте проблем общероссийских </w:t>
      </w:r>
      <w:r>
        <w:t>(14%).</w:t>
      </w:r>
    </w:p>
    <w:p w:rsidR="000A43E7" w:rsidRDefault="000A43E7" w:rsidP="005C6E07">
      <w:pPr>
        <w:numPr>
          <w:ilvl w:val="0"/>
          <w:numId w:val="2"/>
        </w:numPr>
      </w:pPr>
      <w:r>
        <w:rPr>
          <w:i/>
          <w:iCs/>
          <w:color w:val="800000"/>
        </w:rPr>
        <w:t xml:space="preserve"> Разработка концепции федеративных отношений </w:t>
      </w:r>
      <w:r>
        <w:t>(10%).</w:t>
      </w:r>
    </w:p>
    <w:p w:rsidR="000A43E7" w:rsidRDefault="000A43E7" w:rsidP="005C6E07">
      <w:pPr>
        <w:numPr>
          <w:ilvl w:val="0"/>
          <w:numId w:val="2"/>
        </w:numPr>
        <w:spacing w:before="80"/>
      </w:pPr>
      <w:r>
        <w:rPr>
          <w:i/>
          <w:iCs/>
          <w:color w:val="800000"/>
        </w:rPr>
        <w:t xml:space="preserve"> Разработка и реализация антикризисных мер экономического характера</w:t>
      </w:r>
      <w:r>
        <w:rPr>
          <w:i/>
          <w:iCs/>
        </w:rPr>
        <w:t>:</w:t>
      </w:r>
      <w:r>
        <w:t xml:space="preserve"> поддержка отечественной промышленности, привлечение инвестиций и т.д. (9%).</w:t>
      </w:r>
    </w:p>
    <w:p w:rsidR="000A43E7" w:rsidRDefault="000A43E7" w:rsidP="005C6E07">
      <w:pPr>
        <w:numPr>
          <w:ilvl w:val="0"/>
          <w:numId w:val="2"/>
        </w:numPr>
      </w:pPr>
      <w:r>
        <w:rPr>
          <w:i/>
          <w:iCs/>
          <w:color w:val="800000"/>
        </w:rPr>
        <w:t xml:space="preserve"> Укрупнение территориальных образований</w:t>
      </w:r>
      <w:r>
        <w:rPr>
          <w:i/>
          <w:iCs/>
        </w:rPr>
        <w:t>,</w:t>
      </w:r>
      <w:r>
        <w:t xml:space="preserve"> снижение численности региональных управленческих структур, налаживание межрегиональных отношений (7%).</w:t>
      </w:r>
    </w:p>
    <w:p w:rsidR="000A43E7" w:rsidRDefault="000A43E7" w:rsidP="005C6E07">
      <w:pPr>
        <w:numPr>
          <w:ilvl w:val="0"/>
          <w:numId w:val="2"/>
        </w:numPr>
      </w:pPr>
      <w:r>
        <w:rPr>
          <w:i/>
          <w:iCs/>
          <w:color w:val="800000"/>
        </w:rPr>
        <w:t xml:space="preserve"> Конструктивное взаимодействие с Правительством</w:t>
      </w:r>
      <w:r>
        <w:rPr>
          <w:i/>
          <w:iCs/>
        </w:rPr>
        <w:t>,</w:t>
      </w:r>
      <w:r>
        <w:t xml:space="preserve"> поддержка усилий по стабилизации обстановки (6%).</w:t>
      </w:r>
    </w:p>
    <w:p w:rsidR="000A43E7" w:rsidRDefault="000A43E7" w:rsidP="005C6E07">
      <w:pPr>
        <w:numPr>
          <w:ilvl w:val="0"/>
          <w:numId w:val="2"/>
        </w:numPr>
      </w:pPr>
      <w:r>
        <w:rPr>
          <w:i/>
          <w:iCs/>
          <w:color w:val="800000"/>
        </w:rPr>
        <w:t xml:space="preserve"> Решение проблемы межбюджетных отношений:</w:t>
      </w:r>
      <w:r>
        <w:t xml:space="preserve"> определение того, какая часть региональных налогов должна идти в федеральный бюджет (6%).</w:t>
      </w:r>
      <w:r>
        <w:rPr>
          <w:i/>
          <w:iCs/>
          <w:color w:val="800000"/>
        </w:rPr>
        <w:t xml:space="preserve"> </w:t>
      </w:r>
    </w:p>
    <w:p w:rsidR="000A43E7" w:rsidRDefault="000A43E7" w:rsidP="005C6E07">
      <w:pPr>
        <w:numPr>
          <w:ilvl w:val="0"/>
          <w:numId w:val="1"/>
        </w:numPr>
        <w:spacing w:before="80"/>
        <w:rPr>
          <w:color w:val="000000"/>
        </w:rPr>
      </w:pPr>
      <w:r>
        <w:t xml:space="preserve"> </w:t>
      </w:r>
      <w:r>
        <w:rPr>
          <w:i/>
          <w:iCs/>
          <w:color w:val="800000"/>
        </w:rPr>
        <w:t>Одиночные суждения:</w:t>
      </w:r>
      <w:r>
        <w:t xml:space="preserve"> необходимость добиваться большей экономической</w:t>
      </w:r>
      <w:r>
        <w:rPr>
          <w:color w:val="000000"/>
        </w:rPr>
        <w:t xml:space="preserve"> самостоятельности и равноправия субъектов РФ; </w:t>
      </w:r>
      <w:r>
        <w:t>контроль решения проблем Северного Кавказа;</w:t>
      </w:r>
      <w:r>
        <w:rPr>
          <w:color w:val="000000"/>
        </w:rPr>
        <w:t xml:space="preserve"> передача части полномочий Правительству; подготовка к зиме; принятие земельного кодекса; принятие закона о территориальной целостности России; работа над бюджетом 1999 г.; стабилизация финансовой системы РФ.</w:t>
      </w:r>
    </w:p>
    <w:p w:rsidR="000A43E7" w:rsidRDefault="000A43E7">
      <w:pPr>
        <w:spacing w:before="80"/>
        <w:rPr>
          <w:color w:val="000000"/>
        </w:rPr>
      </w:pPr>
    </w:p>
    <w:p w:rsidR="000A43E7" w:rsidRDefault="000A43E7">
      <w:pPr>
        <w:spacing w:before="80"/>
        <w:rPr>
          <w:color w:val="000000"/>
        </w:rPr>
      </w:pPr>
    </w:p>
    <w:p w:rsidR="000A43E7" w:rsidRDefault="000A43E7">
      <w:pPr>
        <w:keepNext/>
        <w:framePr w:dropCap="drop" w:lines="2" w:wrap="auto" w:vAnchor="text" w:hAnchor="text"/>
        <w:spacing w:line="902" w:lineRule="exact"/>
        <w:ind w:firstLine="0"/>
        <w:jc w:val="left"/>
        <w:rPr>
          <w:rFonts w:ascii="Arial" w:hAnsi="Arial" w:cs="Arial"/>
          <w:b/>
          <w:bCs/>
          <w:color w:val="0000FF"/>
          <w:sz w:val="93"/>
          <w:szCs w:val="93"/>
        </w:rPr>
      </w:pPr>
      <w:r>
        <w:rPr>
          <w:rFonts w:ascii="Arial" w:hAnsi="Arial" w:cs="Arial"/>
          <w:b/>
          <w:bCs/>
          <w:color w:val="0000FF"/>
          <w:sz w:val="93"/>
          <w:szCs w:val="93"/>
        </w:rPr>
        <w:t>Р</w:t>
      </w:r>
    </w:p>
    <w:p w:rsidR="000A43E7" w:rsidRDefault="000A43E7">
      <w:pPr>
        <w:spacing w:after="120"/>
        <w:ind w:firstLine="0"/>
        <w:rPr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езюме</w:t>
      </w:r>
    </w:p>
    <w:p w:rsidR="000A43E7" w:rsidRDefault="000A43E7" w:rsidP="005C6E07">
      <w:pPr>
        <w:numPr>
          <w:ilvl w:val="0"/>
          <w:numId w:val="3"/>
        </w:numPr>
        <w:spacing w:before="40"/>
        <w:ind w:left="0" w:firstLine="0"/>
      </w:pPr>
      <w:r>
        <w:t xml:space="preserve">При рассмотрении проблем взаимоотношений федерального центра и регионов </w:t>
      </w:r>
      <w:r>
        <w:rPr>
          <w:color w:val="008000"/>
        </w:rPr>
        <w:t>Государственная Дума</w:t>
      </w:r>
      <w:r>
        <w:t xml:space="preserve"> и </w:t>
      </w:r>
      <w:r>
        <w:rPr>
          <w:color w:val="008000"/>
        </w:rPr>
        <w:t>Совет Федерации</w:t>
      </w:r>
      <w:r>
        <w:t xml:space="preserve"> должны решать сходные задачи. Главная из них – сосредоточиться на разработке законодательной базы, обеспечивающей одновременно развитие межрегиональных связей (долж</w:t>
      </w:r>
      <w:r>
        <w:softHyphen/>
      </w:r>
      <w:r>
        <w:softHyphen/>
        <w:t xml:space="preserve">ную степень интеграции субъектов федерации) и разграничение полномочий центра и регионов. </w:t>
      </w:r>
    </w:p>
    <w:p w:rsidR="000A43E7" w:rsidRDefault="000A43E7" w:rsidP="005C6E07">
      <w:pPr>
        <w:numPr>
          <w:ilvl w:val="12"/>
          <w:numId w:val="0"/>
        </w:numPr>
        <w:spacing w:before="40"/>
      </w:pPr>
      <w:r>
        <w:t>Должна быть определена приемлемая степень самостоятельности регионов, скорректированы пропорции налоговых отчислений в федеральный и местные бюджеты. В то же время проблемы регионов должны рассматриваться в контексте общего развития страны. Необходимо разработать систему мер, позволяющих федеральным органам власти контролировать ситуацию в регионах, согласовывать решения и эффективно их реализовать.</w:t>
      </w:r>
    </w:p>
    <w:p w:rsidR="000A43E7" w:rsidRDefault="000A43E7" w:rsidP="005C6E07">
      <w:pPr>
        <w:numPr>
          <w:ilvl w:val="0"/>
          <w:numId w:val="3"/>
        </w:numPr>
        <w:spacing w:before="40"/>
        <w:ind w:left="0" w:firstLine="426"/>
      </w:pPr>
      <w:r>
        <w:t>Государственная Дума должна законодательно обеспечивать решения Правительства по развитию российской экономики, социальной и финансовой сферы. Для этого необходимо более тесное сотрудничество с исполнительной властью и постоянная активная работа по решению текущих проблем.</w:t>
      </w:r>
    </w:p>
    <w:p w:rsidR="000A43E7" w:rsidRDefault="000A43E7" w:rsidP="005C6E07">
      <w:pPr>
        <w:numPr>
          <w:ilvl w:val="0"/>
          <w:numId w:val="3"/>
        </w:numPr>
        <w:spacing w:before="80"/>
        <w:ind w:left="0" w:firstLine="426"/>
        <w:rPr>
          <w:sz w:val="24"/>
          <w:szCs w:val="24"/>
        </w:rPr>
      </w:pPr>
      <w:r>
        <w:t>Совет Федерации, по мнению экспертов, должен взять на себя задачу концептуального рассмотрения проблемы взаимоотношений центра и регионов. Этот орган власти должен постоянно контролировать и при необходимости пресекать центробежные тенденции, рассматривать региональные проблемы с точки зрения их общероссийской значимости, целенаправленно работать над повышением эффективности государственного управления.</w:t>
      </w:r>
    </w:p>
    <w:p w:rsidR="000A43E7" w:rsidRDefault="000A43E7">
      <w:pPr>
        <w:spacing w:before="80"/>
        <w:ind w:firstLine="0"/>
        <w:rPr>
          <w:rFonts w:ascii="TimesET" w:hAnsi="TimesET" w:cs="TimesET"/>
          <w:lang w:val="en-US"/>
        </w:rPr>
        <w:sectPr w:rsidR="000A43E7">
          <w:type w:val="continuous"/>
          <w:pgSz w:w="11907" w:h="16840" w:code="9"/>
          <w:pgMar w:top="851" w:right="851" w:bottom="1134" w:left="1134" w:header="567" w:footer="939" w:gutter="0"/>
          <w:cols w:num="2" w:sep="1" w:space="720"/>
          <w:titlePg/>
        </w:sectPr>
      </w:pPr>
    </w:p>
    <w:p w:rsidR="000A43E7" w:rsidRDefault="000A43E7">
      <w:pPr>
        <w:spacing w:before="80"/>
        <w:ind w:firstLine="709"/>
        <w:rPr>
          <w:rFonts w:ascii="TimesET Cyr" w:hAnsi="TimesET Cyr" w:cs="TimesET Cyr"/>
          <w:sz w:val="24"/>
          <w:szCs w:val="24"/>
        </w:rPr>
      </w:pPr>
    </w:p>
    <w:sectPr w:rsidR="000A43E7" w:rsidSect="000A43E7">
      <w:type w:val="continuous"/>
      <w:pgSz w:w="11907" w:h="16840" w:code="9"/>
      <w:pgMar w:top="851" w:right="851" w:bottom="1134" w:left="1134" w:header="567" w:footer="939" w:gutter="0"/>
      <w:cols w:num="2" w:sep="1"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3E7" w:rsidRDefault="000A43E7">
      <w:r>
        <w:separator/>
      </w:r>
    </w:p>
  </w:endnote>
  <w:endnote w:type="continuationSeparator" w:id="1">
    <w:p w:rsidR="000A43E7" w:rsidRDefault="000A4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dverGothic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extBook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3E7" w:rsidRDefault="000A43E7">
    <w:pPr>
      <w:pStyle w:val="Footer"/>
      <w:tabs>
        <w:tab w:val="clear" w:pos="4153"/>
        <w:tab w:val="clear" w:pos="8306"/>
        <w:tab w:val="left" w:pos="4395"/>
        <w:tab w:val="left" w:pos="7088"/>
      </w:tabs>
      <w:ind w:firstLine="0"/>
      <w:rPr>
        <w:rFonts w:ascii="TextBook Cyr" w:hAnsi="TextBook Cyr" w:cs="TextBook Cyr"/>
        <w:sz w:val="18"/>
        <w:szCs w:val="18"/>
      </w:rPr>
    </w:pPr>
    <w:r>
      <w:rPr>
        <w:sz w:val="18"/>
        <w:szCs w:val="18"/>
      </w:rPr>
      <w:t>Сообщение № 428</w:t>
    </w:r>
    <w:r>
      <w:rPr>
        <w:sz w:val="18"/>
        <w:szCs w:val="18"/>
      </w:rPr>
      <w:tab/>
      <w:t xml:space="preserve">Стр.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из 3</w:t>
    </w:r>
    <w:r>
      <w:rPr>
        <w:rStyle w:val="PageNumber"/>
        <w:sz w:val="18"/>
        <w:szCs w:val="18"/>
      </w:rPr>
      <w:tab/>
    </w:r>
    <w:r>
      <w:rPr>
        <w:sz w:val="18"/>
        <w:szCs w:val="18"/>
      </w:rPr>
      <w:sym w:font="Symbol" w:char="F0E3"/>
    </w:r>
    <w:r>
      <w:rPr>
        <w:sz w:val="18"/>
        <w:szCs w:val="18"/>
      </w:rPr>
      <w:t xml:space="preserve"> Фонд “Общественное мнение”</w:t>
    </w:r>
  </w:p>
  <w:p w:rsidR="000A43E7" w:rsidRDefault="000A43E7">
    <w:pPr>
      <w:pStyle w:val="Footer"/>
      <w:jc w:val="center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3E7" w:rsidRDefault="000A43E7">
    <w:pPr>
      <w:pStyle w:val="Footer"/>
      <w:tabs>
        <w:tab w:val="clear" w:pos="4153"/>
        <w:tab w:val="clear" w:pos="8306"/>
        <w:tab w:val="left" w:pos="4395"/>
        <w:tab w:val="left" w:pos="7088"/>
      </w:tabs>
      <w:spacing w:before="80"/>
      <w:ind w:firstLine="0"/>
    </w:pPr>
    <w:r>
      <w:rPr>
        <w:sz w:val="18"/>
        <w:szCs w:val="18"/>
      </w:rPr>
      <w:t>Сообщение № 428</w:t>
    </w:r>
    <w:r>
      <w:rPr>
        <w:sz w:val="18"/>
        <w:szCs w:val="18"/>
      </w:rPr>
      <w:tab/>
      <w:t xml:space="preserve">Стр.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из 3</w:t>
    </w:r>
    <w:r>
      <w:rPr>
        <w:rStyle w:val="PageNumber"/>
        <w:sz w:val="18"/>
        <w:szCs w:val="18"/>
      </w:rPr>
      <w:tab/>
    </w:r>
    <w:r>
      <w:rPr>
        <w:sz w:val="18"/>
        <w:szCs w:val="18"/>
      </w:rPr>
      <w:sym w:font="Symbol" w:char="F0E3"/>
    </w:r>
    <w:r>
      <w:rPr>
        <w:sz w:val="18"/>
        <w:szCs w:val="18"/>
      </w:rPr>
      <w:t xml:space="preserve"> Фонд “Общественное мнение”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3E7" w:rsidRDefault="000A43E7">
      <w:pPr>
        <w:spacing w:before="0"/>
      </w:pPr>
      <w:r>
        <w:separator/>
      </w:r>
    </w:p>
  </w:footnote>
  <w:footnote w:type="continuationSeparator" w:id="1">
    <w:p w:rsidR="000A43E7" w:rsidRDefault="000A43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42F42A"/>
    <w:lvl w:ilvl="0">
      <w:numFmt w:val="bullet"/>
      <w:lvlText w:val="*"/>
      <w:lvlJc w:val="left"/>
    </w:lvl>
  </w:abstractNum>
  <w:abstractNum w:abstractNumId="1">
    <w:nsid w:val="4DD405D4"/>
    <w:multiLevelType w:val="singleLevel"/>
    <w:tmpl w:val="7F929B9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color w:val="000080"/>
        <w:sz w:val="26"/>
        <w:szCs w:val="26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-425"/>
        <w:lvlJc w:val="left"/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  <w:color w:val="800000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printColBlack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E07"/>
    <w:rsid w:val="000A43E7"/>
    <w:rsid w:val="005C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  <w:ind w:firstLine="425"/>
      <w:jc w:val="both"/>
      <w:textAlignment w:val="baseline"/>
    </w:pPr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ind w:firstLine="0"/>
      <w:outlineLvl w:val="0"/>
    </w:pPr>
    <w:rPr>
      <w:rFonts w:ascii="Arial MT" w:hAnsi="Arial MT" w:cs="Arial MT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500" w:after="200"/>
      <w:ind w:firstLine="0"/>
      <w:outlineLvl w:val="1"/>
    </w:pPr>
    <w:rPr>
      <w:rFonts w:ascii="Arial" w:hAnsi="Arial" w:cs="Arial"/>
      <w:b/>
      <w:bCs/>
      <w:i/>
      <w:iCs/>
      <w:color w:val="008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ind w:firstLine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ind w:firstLine="0"/>
      <w:outlineLvl w:val="3"/>
    </w:pPr>
    <w:rPr>
      <w:rFonts w:ascii="TimesNewRomanPS" w:hAnsi="TimesNewRomanPS" w:cs="TimesNewRomanPS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ind w:firstLine="0"/>
      <w:outlineLvl w:val="4"/>
    </w:pPr>
    <w:rPr>
      <w:rFonts w:ascii="Arial MT" w:hAnsi="Arial MT" w:cs="Arial MT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ind w:firstLine="0"/>
      <w:outlineLvl w:val="5"/>
    </w:pPr>
    <w:rPr>
      <w:rFonts w:ascii="Arial MT" w:hAnsi="Arial MT" w:cs="Arial MT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ind w:firstLine="0"/>
      <w:outlineLvl w:val="6"/>
    </w:pPr>
    <w:rPr>
      <w:rFonts w:ascii="Arial MT" w:hAnsi="Arial MT" w:cs="Arial MT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ind w:firstLine="0"/>
      <w:outlineLvl w:val="7"/>
    </w:pPr>
    <w:rPr>
      <w:rFonts w:ascii="Arial MT" w:hAnsi="Arial MT" w:cs="Arial MT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ind w:firstLine="0"/>
      <w:outlineLvl w:val="8"/>
    </w:pPr>
    <w:rPr>
      <w:rFonts w:ascii="Arial MT" w:hAnsi="Arial MT" w:cs="Arial MT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A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A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A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A7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A7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A7F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A7F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A7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A7F"/>
    <w:rPr>
      <w:rFonts w:asciiTheme="majorHAnsi" w:eastAsiaTheme="majorEastAsia" w:hAnsiTheme="majorHAnsi" w:cstheme="majorBidi"/>
    </w:rPr>
  </w:style>
  <w:style w:type="paragraph" w:customStyle="1" w:styleId="adress">
    <w:name w:val="adress"/>
    <w:basedOn w:val="Normal"/>
    <w:uiPriority w:val="99"/>
    <w:pPr>
      <w:tabs>
        <w:tab w:val="left" w:pos="567"/>
        <w:tab w:val="left" w:pos="4537"/>
        <w:tab w:val="left" w:pos="4820"/>
        <w:tab w:val="right" w:pos="8222"/>
      </w:tabs>
      <w:spacing w:line="360" w:lineRule="auto"/>
      <w:ind w:firstLine="284"/>
    </w:pPr>
    <w:rPr>
      <w:rFonts w:ascii="SchoolBook" w:hAnsi="SchoolBook" w:cs="SchoolBook"/>
      <w:sz w:val="24"/>
      <w:szCs w:val="24"/>
    </w:rPr>
  </w:style>
  <w:style w:type="paragraph" w:customStyle="1" w:styleId="left">
    <w:name w:val="left"/>
    <w:basedOn w:val="Normal"/>
    <w:uiPriority w:val="99"/>
    <w:pPr>
      <w:tabs>
        <w:tab w:val="left" w:pos="284"/>
        <w:tab w:val="left" w:pos="3119"/>
        <w:tab w:val="left" w:pos="3686"/>
      </w:tabs>
      <w:spacing w:line="240" w:lineRule="atLeast"/>
      <w:ind w:left="357" w:hanging="357"/>
    </w:pPr>
    <w:rPr>
      <w:rFonts w:ascii="SchoolBook" w:hAnsi="SchoolBook" w:cs="SchoolBook"/>
      <w:sz w:val="22"/>
      <w:szCs w:val="22"/>
    </w:rPr>
  </w:style>
  <w:style w:type="paragraph" w:styleId="TOC1">
    <w:name w:val="toc 1"/>
    <w:basedOn w:val="Normal"/>
    <w:next w:val="Normal"/>
    <w:uiPriority w:val="99"/>
    <w:semiHidden/>
    <w:pPr>
      <w:tabs>
        <w:tab w:val="right" w:leader="dot" w:pos="11108"/>
      </w:tabs>
    </w:pPr>
  </w:style>
  <w:style w:type="paragraph" w:styleId="TOC2">
    <w:name w:val="toc 2"/>
    <w:basedOn w:val="Normal"/>
    <w:next w:val="Normal"/>
    <w:uiPriority w:val="99"/>
    <w:semiHidden/>
    <w:pPr>
      <w:tabs>
        <w:tab w:val="right" w:leader="dot" w:pos="11108"/>
      </w:tabs>
      <w:ind w:left="200"/>
    </w:pPr>
  </w:style>
  <w:style w:type="paragraph" w:styleId="TOC3">
    <w:name w:val="toc 3"/>
    <w:basedOn w:val="Normal"/>
    <w:next w:val="Normal"/>
    <w:uiPriority w:val="99"/>
    <w:semiHidden/>
    <w:pPr>
      <w:tabs>
        <w:tab w:val="right" w:leader="dot" w:pos="11108"/>
      </w:tabs>
      <w:ind w:left="400"/>
    </w:pPr>
  </w:style>
  <w:style w:type="paragraph" w:styleId="TOC4">
    <w:name w:val="toc 4"/>
    <w:basedOn w:val="Normal"/>
    <w:next w:val="Normal"/>
    <w:uiPriority w:val="99"/>
    <w:semiHidden/>
    <w:pPr>
      <w:tabs>
        <w:tab w:val="right" w:leader="dot" w:pos="11108"/>
      </w:tabs>
      <w:ind w:left="600"/>
    </w:pPr>
  </w:style>
  <w:style w:type="paragraph" w:styleId="TOC5">
    <w:name w:val="toc 5"/>
    <w:basedOn w:val="Normal"/>
    <w:next w:val="Normal"/>
    <w:uiPriority w:val="99"/>
    <w:semiHidden/>
    <w:pPr>
      <w:tabs>
        <w:tab w:val="right" w:leader="dot" w:pos="11108"/>
      </w:tabs>
      <w:ind w:left="800"/>
    </w:pPr>
  </w:style>
  <w:style w:type="paragraph" w:styleId="TOC6">
    <w:name w:val="toc 6"/>
    <w:basedOn w:val="Normal"/>
    <w:next w:val="Normal"/>
    <w:uiPriority w:val="99"/>
    <w:semiHidden/>
    <w:pPr>
      <w:tabs>
        <w:tab w:val="right" w:leader="dot" w:pos="11108"/>
      </w:tabs>
      <w:ind w:left="1000"/>
    </w:pPr>
  </w:style>
  <w:style w:type="paragraph" w:styleId="TOC7">
    <w:name w:val="toc 7"/>
    <w:basedOn w:val="Normal"/>
    <w:next w:val="Normal"/>
    <w:uiPriority w:val="99"/>
    <w:semiHidden/>
    <w:pPr>
      <w:tabs>
        <w:tab w:val="right" w:leader="dot" w:pos="11108"/>
      </w:tabs>
      <w:ind w:left="1200"/>
    </w:pPr>
  </w:style>
  <w:style w:type="paragraph" w:styleId="TOC8">
    <w:name w:val="toc 8"/>
    <w:basedOn w:val="Normal"/>
    <w:next w:val="Normal"/>
    <w:uiPriority w:val="99"/>
    <w:semiHidden/>
    <w:pPr>
      <w:tabs>
        <w:tab w:val="right" w:leader="dot" w:pos="11108"/>
      </w:tabs>
      <w:ind w:left="1400"/>
    </w:pPr>
  </w:style>
  <w:style w:type="paragraph" w:styleId="TOC9">
    <w:name w:val="toc 9"/>
    <w:basedOn w:val="Normal"/>
    <w:next w:val="Normal"/>
    <w:uiPriority w:val="99"/>
    <w:semiHidden/>
    <w:pPr>
      <w:tabs>
        <w:tab w:val="right" w:leader="dot" w:pos="11108"/>
      </w:tabs>
      <w:ind w:left="1600"/>
    </w:pPr>
  </w:style>
  <w:style w:type="character" w:styleId="PageNumber">
    <w:name w:val="page number"/>
    <w:basedOn w:val="DefaultParagraphFont"/>
    <w:uiPriority w:val="99"/>
  </w:style>
  <w:style w:type="paragraph" w:customStyle="1" w:styleId="2">
    <w:name w:val="МойСтиль2"/>
    <w:basedOn w:val="Normal"/>
    <w:uiPriority w:val="99"/>
    <w:pPr>
      <w:spacing w:before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before="0" w:after="120"/>
      <w:ind w:firstLine="0"/>
      <w:jc w:val="left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D5A7F"/>
    <w:rPr>
      <w:sz w:val="26"/>
      <w:szCs w:val="26"/>
    </w:rPr>
  </w:style>
  <w:style w:type="paragraph" w:customStyle="1" w:styleId="3">
    <w:name w:val="Таб.3 (справа)"/>
    <w:basedOn w:val="20"/>
    <w:uiPriority w:val="99"/>
    <w:pPr>
      <w:jc w:val="right"/>
    </w:pPr>
    <w:rPr>
      <w:i/>
      <w:iCs/>
      <w:sz w:val="22"/>
      <w:szCs w:val="22"/>
    </w:rPr>
  </w:style>
  <w:style w:type="paragraph" w:customStyle="1" w:styleId="20">
    <w:name w:val="Таб.2 (по центру)"/>
    <w:basedOn w:val="1"/>
    <w:uiPriority w:val="99"/>
    <w:pPr>
      <w:jc w:val="center"/>
    </w:pPr>
  </w:style>
  <w:style w:type="paragraph" w:customStyle="1" w:styleId="1">
    <w:name w:val="Таб.1 (слева)"/>
    <w:basedOn w:val="Normal"/>
    <w:uiPriority w:val="99"/>
    <w:pPr>
      <w:spacing w:before="0"/>
      <w:ind w:firstLine="0"/>
      <w:jc w:val="left"/>
    </w:pPr>
    <w:rPr>
      <w:sz w:val="20"/>
      <w:szCs w:val="20"/>
    </w:rPr>
  </w:style>
  <w:style w:type="paragraph" w:customStyle="1" w:styleId="a">
    <w:name w:val="Табл"/>
    <w:basedOn w:val="a0"/>
    <w:uiPriority w:val="99"/>
    <w:pPr>
      <w:ind w:left="0" w:firstLine="0"/>
    </w:pPr>
  </w:style>
  <w:style w:type="paragraph" w:customStyle="1" w:styleId="a0">
    <w:name w:val="Списки"/>
    <w:basedOn w:val="Normal"/>
    <w:uiPriority w:val="99"/>
    <w:pPr>
      <w:keepNext/>
      <w:tabs>
        <w:tab w:val="left" w:pos="3969"/>
        <w:tab w:val="left" w:pos="5670"/>
        <w:tab w:val="left" w:pos="7371"/>
        <w:tab w:val="left" w:pos="8505"/>
      </w:tabs>
      <w:spacing w:before="0"/>
      <w:ind w:left="993" w:hanging="284"/>
    </w:pPr>
    <w:rPr>
      <w:rFonts w:ascii="Arial" w:hAnsi="Arial" w:cs="Arial"/>
      <w:sz w:val="22"/>
      <w:szCs w:val="22"/>
    </w:rPr>
  </w:style>
  <w:style w:type="paragraph" w:customStyle="1" w:styleId="a1">
    <w:name w:val="Таблица"/>
    <w:basedOn w:val="Normal"/>
    <w:uiPriority w:val="99"/>
    <w:pPr>
      <w:keepNext/>
      <w:spacing w:before="0"/>
      <w:ind w:firstLine="0"/>
      <w:jc w:val="left"/>
    </w:pPr>
    <w:rPr>
      <w:rFonts w:ascii="TimesET" w:hAnsi="TimesET" w:cs="TimesET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5A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before="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D5A7F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857</Words>
  <Characters>4888</Characters>
  <Application>Microsoft Office Outlook</Application>
  <DocSecurity>0</DocSecurity>
  <Lines>0</Lines>
  <Paragraphs>0</Paragraphs>
  <ScaleCrop>false</ScaleCrop>
  <Company>Фонд "Общественное мнение"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“Общественное мнение”</dc:title>
  <dc:subject/>
  <dc:creator>Anna Danilova</dc:creator>
  <cp:keywords/>
  <dc:description/>
  <cp:lastModifiedBy>Rimskiy</cp:lastModifiedBy>
  <cp:revision>2</cp:revision>
  <cp:lastPrinted>1998-11-18T15:38:00Z</cp:lastPrinted>
  <dcterms:created xsi:type="dcterms:W3CDTF">2017-08-01T17:59:00Z</dcterms:created>
  <dcterms:modified xsi:type="dcterms:W3CDTF">2017-08-01T17:59:00Z</dcterms:modified>
</cp:coreProperties>
</file>