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A" w:rsidRDefault="00297F2A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297F2A" w:rsidRDefault="00297F2A">
                  <w:pPr>
                    <w:spacing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297F2A" w:rsidRDefault="00297F2A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297F2A" w:rsidRDefault="00297F2A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 октября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297F2A" w:rsidRDefault="00297F2A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3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18)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297F2A" w:rsidRDefault="00297F2A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опросов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>17-18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 октября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297F2A" w:rsidRDefault="00297F2A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297F2A" w:rsidRDefault="00297F2A">
      <w:pPr>
        <w:widowControl w:val="0"/>
      </w:pPr>
    </w:p>
    <w:p w:rsidR="00297F2A" w:rsidRDefault="00297F2A">
      <w:pPr>
        <w:widowControl w:val="0"/>
        <w:rPr>
          <w:sz w:val="30"/>
          <w:szCs w:val="30"/>
        </w:rPr>
      </w:pPr>
    </w:p>
    <w:p w:rsidR="00297F2A" w:rsidRDefault="00297F2A">
      <w:pPr>
        <w:widowControl w:val="0"/>
        <w:rPr>
          <w:sz w:val="30"/>
          <w:szCs w:val="30"/>
          <w:lang w:val="en-US"/>
        </w:rPr>
      </w:pPr>
    </w:p>
    <w:p w:rsidR="00297F2A" w:rsidRDefault="00297F2A">
      <w:pPr>
        <w:rPr>
          <w:lang w:val="en-US"/>
        </w:rPr>
      </w:pPr>
    </w:p>
    <w:p w:rsidR="00297F2A" w:rsidRDefault="00297F2A">
      <w:pPr>
        <w:ind w:firstLine="426"/>
        <w:jc w:val="left"/>
        <w:rPr>
          <w:b/>
          <w:bCs/>
          <w:color w:val="FF0000"/>
          <w:kern w:val="28"/>
          <w:sz w:val="30"/>
          <w:szCs w:val="30"/>
          <w:lang w:val="en-US"/>
        </w:rPr>
      </w:pPr>
      <w:r>
        <w:rPr>
          <w:b/>
          <w:bCs/>
          <w:color w:val="FF0000"/>
          <w:kern w:val="28"/>
          <w:sz w:val="30"/>
          <w:szCs w:val="30"/>
        </w:rPr>
        <w:t>Темы:</w:t>
      </w:r>
    </w:p>
    <w:p w:rsidR="00297F2A" w:rsidRDefault="00297F2A">
      <w:pPr>
        <w:ind w:firstLine="1418"/>
        <w:rPr>
          <w:b/>
          <w:bCs/>
          <w:color w:val="000080"/>
          <w:kern w:val="28"/>
          <w:sz w:val="34"/>
          <w:szCs w:val="34"/>
        </w:rPr>
      </w:pPr>
      <w:r>
        <w:rPr>
          <w:b/>
          <w:bCs/>
          <w:color w:val="000080"/>
          <w:kern w:val="28"/>
          <w:sz w:val="34"/>
          <w:szCs w:val="34"/>
        </w:rPr>
        <w:t>1. Политический потенциал Е.Примакова</w:t>
      </w:r>
    </w:p>
    <w:p w:rsidR="00297F2A" w:rsidRDefault="00297F2A">
      <w:pPr>
        <w:ind w:firstLine="1418"/>
        <w:rPr>
          <w:b/>
          <w:bCs/>
          <w:color w:val="000080"/>
          <w:kern w:val="28"/>
          <w:sz w:val="34"/>
          <w:szCs w:val="34"/>
        </w:rPr>
      </w:pPr>
      <w:r>
        <w:rPr>
          <w:b/>
          <w:bCs/>
          <w:color w:val="000080"/>
          <w:kern w:val="28"/>
          <w:sz w:val="34"/>
          <w:szCs w:val="34"/>
        </w:rPr>
        <w:t xml:space="preserve">2. Акции протеста 7 октября </w:t>
      </w:r>
    </w:p>
    <w:p w:rsidR="00297F2A" w:rsidRDefault="00297F2A">
      <w:pPr>
        <w:pStyle w:val="Heading1"/>
      </w:pPr>
      <w:r>
        <w:br w:type="page"/>
        <w:t>1. Политический потенциал Е.Примакова</w:t>
      </w:r>
    </w:p>
    <w:p w:rsidR="00297F2A" w:rsidRDefault="00297F2A">
      <w:pPr>
        <w:spacing w:before="0" w:after="0"/>
        <w:ind w:firstLine="426"/>
      </w:pPr>
      <w:r>
        <w:t xml:space="preserve">Престиж главы правительства сегодня весьма высок. Если его предшественнику после пяти недель пребывания в кресле премьера доверяли 16% респондентов, то Е.Примакову – 37%. </w:t>
      </w:r>
    </w:p>
    <w:p w:rsidR="00297F2A" w:rsidRDefault="00297F2A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"В какой мере лично Вы доверяете сегодня...?"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699"/>
        <w:gridCol w:w="1134"/>
        <w:gridCol w:w="1028"/>
        <w:gridCol w:w="1098"/>
        <w:gridCol w:w="1371"/>
        <w:gridCol w:w="1371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i/>
                <w:iCs/>
                <w:color w:val="008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8000"/>
                <w:sz w:val="24"/>
                <w:szCs w:val="24"/>
              </w:rPr>
              <w:t>С.Кириенко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28-29 марта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3-4 апреля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11-12 апреля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18-19 апреля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25-26 апреля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доверяю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доверяю</w:t>
            </w:r>
          </w:p>
        </w:tc>
        <w:tc>
          <w:tcPr>
            <w:tcW w:w="1134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равной степени доверяю и не доверяю</w:t>
            </w:r>
          </w:p>
        </w:tc>
        <w:tc>
          <w:tcPr>
            <w:tcW w:w="1134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1134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9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i/>
                <w:iCs/>
                <w:color w:val="008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8000"/>
                <w:sz w:val="24"/>
                <w:szCs w:val="24"/>
              </w:rPr>
              <w:t>Е.Примакову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19-20 сентября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26-27 сентября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3-4 октября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10-11 октября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17-18 октября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доверяю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9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доверяю</w:t>
            </w:r>
          </w:p>
        </w:tc>
        <w:tc>
          <w:tcPr>
            <w:tcW w:w="1134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равной степени доверяю и не доверяю</w:t>
            </w:r>
          </w:p>
        </w:tc>
        <w:tc>
          <w:tcPr>
            <w:tcW w:w="1134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69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297F2A" w:rsidRDefault="00297F2A">
      <w:pPr>
        <w:spacing w:before="0" w:after="0"/>
        <w:ind w:firstLine="426"/>
        <w:rPr>
          <w:b/>
          <w:bCs/>
        </w:rPr>
      </w:pPr>
    </w:p>
    <w:p w:rsidR="00297F2A" w:rsidRDefault="00297F2A">
      <w:pPr>
        <w:spacing w:before="0" w:after="0"/>
        <w:ind w:firstLine="426"/>
      </w:pPr>
      <w:r>
        <w:t>Совершенно естественно, что сегодня</w:t>
      </w:r>
      <w:r>
        <w:rPr>
          <w:rStyle w:val="FootnoteReference"/>
        </w:rPr>
        <w:footnoteReference w:id="2"/>
      </w:r>
      <w:r>
        <w:t xml:space="preserve"> доля респондентов, не решающихся дать определенный ответ на вопрос о том, доверяют ли они премьеру, значительно ниже, чем тогда, когда речь шла о С.Кириенко, который не только практически никому не был известен до того, как возглавил правительство, но и демонстрировал новый, во многих отношениях непривычный стиль политического поведения. Е.Примаков же давно на виду и, что еще существеннее, его принадлежность к политическому истэблишменту очевидна. Но эта принадлежность сама по себе </w:t>
      </w:r>
      <w:r>
        <w:rPr>
          <w:lang w:val="en-US"/>
        </w:rPr>
        <w:t>–</w:t>
      </w:r>
      <w:r>
        <w:t xml:space="preserve"> скорее "отягощающее" обстоятельство, нежели фактор, внушающий доверие российскому гражданину, и она ни в коей мере не может объяснить тот факт, что доля опрошенных, выражающих недоверие премьеру, ниже, чем тогда, когда речь шла о С.Кириенко. </w:t>
      </w:r>
    </w:p>
    <w:p w:rsidR="00297F2A" w:rsidRDefault="00297F2A">
      <w:pPr>
        <w:spacing w:before="0" w:after="0"/>
        <w:ind w:firstLine="426"/>
      </w:pPr>
      <w:r>
        <w:t>Следует отметить, что доверять премьеру склонны респонденты с  различными политическими ориентациями, но, как явствует из приведенных ниже данных, приверженцы Г.Зюганова – в несколько большей степени, чем сторонники иных претендентов на президентский пост, и прежде всего – чем электорат Г.Явлинского.</w:t>
      </w:r>
    </w:p>
    <w:p w:rsidR="00297F2A" w:rsidRDefault="00297F2A">
      <w:pPr>
        <w:spacing w:before="0" w:after="0"/>
        <w:ind w:firstLine="426"/>
        <w:rPr>
          <w:b/>
          <w:bCs/>
        </w:rPr>
      </w:pPr>
      <w:r>
        <w:rPr>
          <w:b/>
          <w:bCs/>
          <w:i/>
          <w:iCs/>
          <w:color w:val="800000"/>
        </w:rPr>
        <w:t>Вопрос: "В какой мере лично Вы доверяете сегодня Е.Примакову?"</w:t>
      </w:r>
      <w:r>
        <w:rPr>
          <w:b/>
          <w:bCs/>
          <w:i/>
          <w:iCs/>
        </w:rPr>
        <w:t xml:space="preserve"> 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575"/>
        <w:gridCol w:w="851"/>
        <w:gridCol w:w="1266"/>
        <w:gridCol w:w="1314"/>
        <w:gridCol w:w="1215"/>
        <w:gridCol w:w="1480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275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доверяю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66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14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79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равной степени доверяю </w:t>
            </w:r>
            <w:r>
              <w:rPr>
                <w:b/>
                <w:bCs/>
                <w:sz w:val="24"/>
                <w:szCs w:val="24"/>
              </w:rPr>
              <w:br/>
              <w:t>и не доверяю</w:t>
            </w:r>
          </w:p>
        </w:tc>
        <w:tc>
          <w:tcPr>
            <w:tcW w:w="851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6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314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25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доверяю</w:t>
            </w:r>
          </w:p>
        </w:tc>
        <w:tc>
          <w:tcPr>
            <w:tcW w:w="851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4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5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575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297F2A" w:rsidRDefault="00297F2A">
      <w:pPr>
        <w:spacing w:before="0" w:after="0"/>
        <w:ind w:firstLine="426"/>
        <w:rPr>
          <w:b/>
          <w:bCs/>
        </w:rPr>
      </w:pPr>
    </w:p>
    <w:p w:rsidR="00297F2A" w:rsidRDefault="00297F2A">
      <w:pPr>
        <w:spacing w:before="0" w:after="0"/>
        <w:ind w:firstLine="426"/>
      </w:pPr>
      <w:r>
        <w:t>Вопрос о репутации премьера приобретает, разумеется, особое звучание в контексте предположений о возможности его участия в президентских выборах. Когда респондентам предлагается указать, кого бы они выдвинули кандидатом на пост президента, сегодня уже 6% называют Е.Примакова. На аналогичной стадии премьерства С.Кириенко его имя упоминали в этой связи лишь 3% респондентов. Конечно, это сравнение не слишком корректно – как из-за возраста экс-премьера, так и потому, что идея о выдвижении кандидатуры Е.Примакова весьма энергично обсуждается СМИ.</w:t>
      </w:r>
    </w:p>
    <w:p w:rsidR="00297F2A" w:rsidRDefault="00297F2A">
      <w:pPr>
        <w:spacing w:before="0" w:after="0"/>
        <w:ind w:firstLine="426"/>
      </w:pPr>
      <w:r>
        <w:t>Тем не менее, рост "президентского" рейтинга действующего премьера (в ходе рассматриваемого опроса за него изъявили готовность проголосовать уже 11% респондентов) заставляет видеть в Е.Примакове, независимо от его собственных соображений на этот счет,  потенциального кандидата в президенты. Причем кандидата, располагающего сегодня более значительным кредитом доверия, чем любой иной вероятный претендент на президентский пост.</w:t>
      </w:r>
    </w:p>
    <w:p w:rsidR="00297F2A" w:rsidRDefault="00297F2A">
      <w:pPr>
        <w:spacing w:before="0" w:after="0"/>
        <w:ind w:firstLine="426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br w:type="page"/>
        <w:t>Вопрос: "В какой мере лично Вы доверяете сегодня...?"</w:t>
      </w:r>
      <w:r>
        <w:rPr>
          <w:i/>
          <w:iCs/>
          <w:color w:val="800000"/>
        </w:rPr>
        <w:t xml:space="preserve"> (опрос ФОМ 10-11 октября) 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92"/>
        <w:gridCol w:w="1417"/>
        <w:gridCol w:w="1200"/>
        <w:gridCol w:w="1296"/>
        <w:gridCol w:w="1248"/>
        <w:gridCol w:w="1248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Г.Зюганову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А.Лебедю</w:t>
            </w:r>
          </w:p>
        </w:tc>
        <w:tc>
          <w:tcPr>
            <w:tcW w:w="1296" w:type="dxa"/>
            <w:tcBorders>
              <w:top w:val="single" w:sz="12" w:space="0" w:color="auto"/>
              <w:bottom w:val="nil"/>
              <w:righ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Ю.Лужкову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Е.Прима-кову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2"/>
                <w:szCs w:val="22"/>
              </w:rPr>
            </w:pPr>
            <w:r>
              <w:rPr>
                <w:b/>
                <w:bCs/>
                <w:color w:val="008000"/>
                <w:sz w:val="22"/>
                <w:szCs w:val="22"/>
              </w:rPr>
              <w:t>Г.Явлин-скому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доверяю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12" w:space="0" w:color="auto"/>
              <w:righ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равной степени доверяю и не доверяю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nil"/>
              <w:righ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доверяю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96" w:type="dxa"/>
            <w:tcBorders>
              <w:bottom w:val="nil"/>
              <w:righ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8" w:type="dxa"/>
            <w:tcBorders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bottom w:val="single" w:sz="12" w:space="0" w:color="auto"/>
              <w:righ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97F2A" w:rsidRDefault="00297F2A">
      <w:pPr>
        <w:spacing w:before="0" w:after="0"/>
        <w:ind w:firstLine="426"/>
        <w:rPr>
          <w:b/>
          <w:bCs/>
        </w:rPr>
      </w:pPr>
    </w:p>
    <w:p w:rsidR="00297F2A" w:rsidRDefault="00297F2A">
      <w:pPr>
        <w:spacing w:before="0" w:after="0"/>
        <w:ind w:firstLine="426"/>
      </w:pPr>
      <w:r>
        <w:t xml:space="preserve">Наиболее отчетливо выраженные особенности потенциального электората Е.Примакова – заметное преобладание в нём женщин и сравнительно пожилых избирателей. Отметим, что именно эти социально-демографические группы принимают, судя по опыту последних парламентских и президентских выборов, особенно активное участие в голосовании. Кроме того, электорат Е.Примакова несколько более образован и урбанизирован, чем электораты Г.Зюганова и А.Лебедя, но несколько менее, чем электораты Ю.Лужкова и Г.Явлинского. </w:t>
      </w:r>
    </w:p>
    <w:p w:rsidR="00297F2A" w:rsidRDefault="00297F2A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"Если  бы очередные президентские выборы проводились в ближайшее воскресенье, за кого из перечисленных кандидатов Вы бы скорее всего проголосовали?"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564"/>
        <w:gridCol w:w="7"/>
        <w:gridCol w:w="560"/>
        <w:gridCol w:w="7"/>
        <w:gridCol w:w="637"/>
        <w:gridCol w:w="547"/>
        <w:gridCol w:w="7"/>
        <w:gridCol w:w="614"/>
        <w:gridCol w:w="621"/>
        <w:gridCol w:w="969"/>
        <w:gridCol w:w="7"/>
        <w:gridCol w:w="986"/>
        <w:gridCol w:w="710"/>
        <w:gridCol w:w="851"/>
        <w:gridCol w:w="614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Пол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161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муж.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жен.</w:t>
            </w:r>
          </w:p>
        </w:tc>
        <w:tc>
          <w:tcPr>
            <w:tcW w:w="621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62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сред-нее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Г.Зюганов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4" w:type="dxa"/>
            <w:gridSpan w:val="2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7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" w:type="dxa"/>
            <w:gridSpan w:val="2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9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Ю.Лужков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4" w:type="dxa"/>
            <w:gridSpan w:val="2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" w:type="dxa"/>
            <w:gridSpan w:val="2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4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А.Лебедь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4" w:type="dxa"/>
            <w:gridSpan w:val="2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1" w:type="dxa"/>
            <w:gridSpan w:val="2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Е.Примаков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4" w:type="dxa"/>
            <w:gridSpan w:val="2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" w:type="dxa"/>
            <w:gridSpan w:val="2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1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4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Г.Явлинский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4" w:type="dxa"/>
            <w:gridSpan w:val="2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1" w:type="dxa"/>
            <w:gridSpan w:val="2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297F2A" w:rsidRDefault="00297F2A">
      <w:pPr>
        <w:spacing w:before="0" w:after="0"/>
        <w:ind w:firstLine="426"/>
        <w:rPr>
          <w:b/>
          <w:bCs/>
        </w:rPr>
      </w:pP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573"/>
        <w:gridCol w:w="578"/>
        <w:gridCol w:w="724"/>
        <w:gridCol w:w="890"/>
        <w:gridCol w:w="927"/>
        <w:gridCol w:w="882"/>
        <w:gridCol w:w="842"/>
        <w:gridCol w:w="921"/>
        <w:gridCol w:w="757"/>
        <w:gridCol w:w="609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aps/>
                <w:color w:val="008000"/>
                <w:sz w:val="24"/>
                <w:szCs w:val="24"/>
              </w:rPr>
              <w:t>д</w:t>
            </w:r>
            <w:r>
              <w:rPr>
                <w:b/>
                <w:bCs/>
                <w:color w:val="008000"/>
                <w:sz w:val="24"/>
                <w:szCs w:val="24"/>
              </w:rPr>
              <w:t>оход на чл. семьи</w:t>
            </w:r>
          </w:p>
        </w:tc>
        <w:tc>
          <w:tcPr>
            <w:tcW w:w="4009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aps/>
                <w:color w:val="008000"/>
                <w:sz w:val="24"/>
                <w:szCs w:val="24"/>
              </w:rPr>
              <w:t>т</w:t>
            </w:r>
            <w:r>
              <w:rPr>
                <w:b/>
                <w:bCs/>
                <w:color w:val="008000"/>
                <w:sz w:val="24"/>
                <w:szCs w:val="24"/>
              </w:rPr>
              <w:t>ип места жительства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до 250 руб.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250-400 руб.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более 400 руб.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Москва +СПб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мегапо-лисы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бол. города</w:t>
            </w:r>
          </w:p>
        </w:tc>
        <w:tc>
          <w:tcPr>
            <w:tcW w:w="757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мал. города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село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Г.Зюганов</w:t>
            </w:r>
          </w:p>
        </w:tc>
        <w:tc>
          <w:tcPr>
            <w:tcW w:w="578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4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0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Ю.Лужков</w:t>
            </w:r>
          </w:p>
        </w:tc>
        <w:tc>
          <w:tcPr>
            <w:tcW w:w="578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4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2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2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А.Лебедь</w:t>
            </w:r>
          </w:p>
        </w:tc>
        <w:tc>
          <w:tcPr>
            <w:tcW w:w="578" w:type="dxa"/>
            <w:tcBorders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right w:val="single" w:sz="12" w:space="0" w:color="auto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Е.Примаков</w:t>
            </w:r>
          </w:p>
        </w:tc>
        <w:tc>
          <w:tcPr>
            <w:tcW w:w="578" w:type="dxa"/>
            <w:tcBorders>
              <w:left w:val="nil"/>
            </w:tcBorders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4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0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7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2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" w:type="dxa"/>
            <w:shd w:val="pct4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Г.Явлинский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97F2A" w:rsidRDefault="00297F2A">
      <w:pPr>
        <w:spacing w:before="0" w:after="0"/>
        <w:ind w:firstLine="426"/>
      </w:pPr>
      <w:r>
        <w:t xml:space="preserve">Сопоставление ответов респондентов на вопросы о возможном голосовании со списком кандидатов без Е.Примакова и с его "участием" показывает, что 6% респондентов, собирающихся отдать свои голоса лидеру КПРФ, предпочли бы Е.Примакова, если бы он выставил свою кандидатуру. В то же время премьер мог бы в этом случае привлечь на свою сторону 12% электората Ю.Лужкова и 13% – сторонников А.Лебедя и Г.Явлинского. </w:t>
      </w:r>
    </w:p>
    <w:p w:rsidR="00297F2A" w:rsidRDefault="00297F2A">
      <w:pPr>
        <w:spacing w:before="0" w:after="0"/>
        <w:ind w:firstLine="426"/>
      </w:pPr>
      <w:r>
        <w:t xml:space="preserve">Данные о возможном воздействии выдвижения Е.Примакова на соотношение сил можно представить и следующим образом: 12% его гипотетического электората составляют "перебежчики" из лагеря Г.Зюганова, 17% – от А.Лебедя, 19% – от Ю.Лужкова, 9% – от Г.Явлинского. </w:t>
      </w:r>
    </w:p>
    <w:p w:rsidR="00297F2A" w:rsidRDefault="00297F2A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Представляется, однако, что было бы преждевременным делать вывод о превращении премьера в реального претендента на президентский пост, особенно в том случае, если выборы пройдут в срок. </w:t>
      </w:r>
    </w:p>
    <w:p w:rsidR="00297F2A" w:rsidRDefault="00297F2A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Во-первых, его сравнительно высокий престиж в известной мере обусловлен сегодня контрастом между первоначальными ожиданиями, сопровождавшими его приход в Белый дом, и во многом иллюзорным ощущением стабильности, возникшим в обществе в последние недели: цены почти не растут, валютный курс колеблется в сравнительно узком диапазоне, рост безработицы затронул пока в основном относительно обеспеченные слои населения. Но едва ли такое положение сохранится в течение длительного времени, а кроме того, сегодняшняя социально-экономическая ситуация может восприниматься как относительно приемлемая лишь на фоне катастрофического развития событий, которым было отмечено начало осени. Однако панические настроения, возобладавшие в обществе в тот момент, уже в ближайшее время либо выветрятся из памяти избирателей – и в этом случае Е.Примаков не будет восприниматься как "спаситель", либо, что более вероятно, снова актуализируются – и в этом случае ответственность за происходящее будет возложена уже на действующее правительство. </w:t>
      </w:r>
    </w:p>
    <w:p w:rsidR="00297F2A" w:rsidRDefault="00297F2A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Во-вторых, сегодня практически все значимые политические силы демонстрируют относительно благожелательное отношение к премьеру, но едва ли они согласятся делить с ним ответственность за социально-экономическое положение страны накануне избирательной кампании. С течением времени критика в адрес правительства неизбежно будет усиливаться, а если Е.Примаков обнаружит президентские амбиции, то эта критика обретет особую интенсивность: собственно, именно отсутствие таких амбиций явилось важнейшим предварительным условием согласия политической элиты на его назначение премьером.</w:t>
      </w:r>
    </w:p>
    <w:p w:rsidR="00297F2A" w:rsidRDefault="00297F2A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В-третьих, обвинения в нерешительности и непоследовательности, уже сейчас звучащие в адрес премьера как слева, так и справа, будут, по-видимому, усиливаться. А это, как свидетельствует, в частности, опыт М.Горбачева, по-прежнему фатально для политической карьеры в России. Если же Е.Примаков сделает определенный выбор между либеральными и административными методами регулирования экономики, между относительно жесткой финансовой политикой и массированной эмиссией, то он быстро утратит существующую сегодня возможность мобилизовать сторонников одновременно в различных частях политического спектра.</w:t>
      </w:r>
    </w:p>
    <w:p w:rsidR="00297F2A" w:rsidRDefault="00297F2A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Есть и другой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008000"/>
        </w:rPr>
        <w:t>сценарий развития событий: Е.Примаков переходит на более высокую политическую "орбиту" и де-факто исполняет обязанности вице-президента, оставляя "черновую" экономическую работу (а вместе с ней и ответственность) членам своего правительства (и прежде всего - Ю.Маслюкову). В этом случае Е.Примаков может не только сохранить, но и упрочить свои позиции как на уровне элит, так и в массовом сознании. Это будет особенно вероятно, если в ходе модернизации своей политической роли Е.Примаков сумеет "взять на себя" хотя бы частично функцию "арбитра", которую Б.Ельцин исполнял с 1992 года, но практически полностью утерял в калейдоскопе событий последних 7-8 месяцев.</w:t>
      </w:r>
    </w:p>
    <w:p w:rsidR="00297F2A" w:rsidRDefault="00297F2A">
      <w:pPr>
        <w:pStyle w:val="Heading1"/>
        <w:rPr>
          <w:lang w:val="en-US"/>
        </w:rPr>
      </w:pPr>
    </w:p>
    <w:p w:rsidR="00297F2A" w:rsidRDefault="00297F2A">
      <w:pPr>
        <w:pStyle w:val="Heading1"/>
      </w:pPr>
      <w:r>
        <w:t xml:space="preserve">2. Акции протеста 7 октября </w:t>
      </w:r>
    </w:p>
    <w:p w:rsidR="00297F2A" w:rsidRDefault="00297F2A">
      <w:pPr>
        <w:spacing w:before="0" w:after="0"/>
        <w:ind w:firstLine="426"/>
      </w:pPr>
      <w:r>
        <w:t xml:space="preserve">В сентябре 8% опрошенных заявили, что в текущем году они принимали участие в акциях протеста, забастовках и т.д. Точно такой же уровень вовлеченности в подобные акции был зафиксирован и в сентябре 1997 г. При этом месяц назад 27% респондентов утверждали, что собираются принять участие в акциях протеста, намеченных на осень этого года. Однако сейчас лишь 7% опрошенных заявляют, что участвовали в них 7 октября. </w:t>
      </w:r>
    </w:p>
    <w:p w:rsidR="00297F2A" w:rsidRDefault="00297F2A">
      <w:pPr>
        <w:spacing w:before="0" w:after="0"/>
        <w:ind w:firstLine="426"/>
      </w:pPr>
      <w:r>
        <w:t>Этот показатель – значительно выше того, который приводит МВД в официальных сообщениях о числе участников массовых выступлений, и вместе с тем – значительно ниже, чем показатели, приводимые профсоюзными лидерами. Очевидно, дело в том, что некоторые респонденты, не вышедшие 7 октября на улицы, но принявшие участие в краткосрочных забастовках либо митингах на предприятиях, считают себя участниками акций протеста, руководствуясь теми же критериями, которыми оперируют профлидеры; другие же, как и МВД, полагают, что участниками таких акций можно считать только тех, кто протестовал на улицах.</w:t>
      </w:r>
    </w:p>
    <w:p w:rsidR="00297F2A" w:rsidRDefault="00297F2A">
      <w:pPr>
        <w:spacing w:before="0" w:after="0"/>
        <w:ind w:firstLine="426"/>
      </w:pPr>
      <w:r>
        <w:t xml:space="preserve">Вместе с тем 3/4 опрошенных одобряют проведение акций протеста, причем особенно решительно поддерживают их сторонники Г.Зюганова, а также наименее образованные респонденты. </w:t>
      </w:r>
    </w:p>
    <w:p w:rsidR="00297F2A" w:rsidRDefault="00297F2A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"Вы лично одобряете или не одобряете проведение этих акций?"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571"/>
        <w:gridCol w:w="567"/>
        <w:gridCol w:w="709"/>
        <w:gridCol w:w="818"/>
        <w:gridCol w:w="868"/>
        <w:gridCol w:w="935"/>
        <w:gridCol w:w="1028"/>
        <w:gridCol w:w="736"/>
        <w:gridCol w:w="891"/>
        <w:gridCol w:w="583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  <w:tc>
          <w:tcPr>
            <w:tcW w:w="3238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Зюга-нова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Явлин-ского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сред-нее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одобряю 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6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5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36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9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78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одобряю</w:t>
            </w:r>
          </w:p>
        </w:tc>
        <w:tc>
          <w:tcPr>
            <w:tcW w:w="567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5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8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257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97F2A" w:rsidRDefault="00297F2A">
      <w:pPr>
        <w:spacing w:before="0" w:after="0"/>
        <w:ind w:firstLine="426"/>
      </w:pPr>
    </w:p>
    <w:p w:rsidR="00297F2A" w:rsidRDefault="00297F2A">
      <w:pPr>
        <w:spacing w:before="0" w:after="0"/>
        <w:ind w:firstLine="426"/>
      </w:pPr>
      <w:r>
        <w:t>Примерно такой уровень поддержки акций протеста остается практически неизменным  уже на протяжении длительного времени. И это совершенно естественно, поскольку справедливость требования их участников о погашении задолженности по зарплате, пенсиям и т.д. – не подлежит сомнению. А именно эту цель подобных акций респонденты считают основной.</w:t>
      </w:r>
    </w:p>
    <w:p w:rsidR="00297F2A" w:rsidRDefault="00297F2A">
      <w:pPr>
        <w:spacing w:before="0" w:after="0"/>
        <w:ind w:firstLine="426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t xml:space="preserve">Вопрос: "Как Вы считаете, какие цели прежде всего преследуют люди, участвуя в таких акциях?" </w:t>
      </w:r>
      <w:r>
        <w:rPr>
          <w:i/>
          <w:iCs/>
          <w:color w:val="800000"/>
        </w:rPr>
        <w:t xml:space="preserve"> (любое число ответов)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134"/>
        <w:gridCol w:w="566"/>
        <w:gridCol w:w="960"/>
        <w:gridCol w:w="996"/>
        <w:gridCol w:w="1119"/>
        <w:gridCol w:w="927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4001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Зюга-нова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Явлин-ского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добиться выплаты задолженностей по зарплате, пенсиям и др.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6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19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7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выразить свое возмущение, публично заявить о своем бедственном положении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добиться защиты своих социальных и трудовых прав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повлиять на политику руководства страны или добиться его смены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добиться от местной администрации решения конкретных проблем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повлиять на политику местного руководства или добиться его смены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оказать давление на руководителей предприятий</w:t>
            </w:r>
          </w:p>
        </w:tc>
        <w:tc>
          <w:tcPr>
            <w:tcW w:w="565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7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65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97F2A" w:rsidRDefault="00297F2A">
      <w:pPr>
        <w:spacing w:before="0" w:after="0"/>
        <w:ind w:firstLine="426"/>
        <w:rPr>
          <w:b/>
          <w:bCs/>
        </w:rPr>
      </w:pPr>
    </w:p>
    <w:p w:rsidR="00297F2A" w:rsidRDefault="00297F2A">
      <w:pPr>
        <w:spacing w:before="0" w:after="0"/>
        <w:ind w:firstLine="426"/>
      </w:pPr>
      <w:r>
        <w:t>Показательно, что число опрошенных, видящих в акциях протеста прежде всего средство борьбы за невыплаченные зарплаты и пенсии, и число сочувствующих им – очень близки. Это, конечно, не означает, что другие цели протестующих чужды респондентам, но до тех пор, пока проблема задолженности остается актуальной, опросы неизбежно будут демонстрировать солидарность подавляющего большинства российских граждан с участниками массовых выступлений.</w:t>
      </w:r>
    </w:p>
    <w:p w:rsidR="00297F2A" w:rsidRDefault="00297F2A">
      <w:pPr>
        <w:spacing w:before="0" w:after="0"/>
        <w:ind w:firstLine="426"/>
      </w:pPr>
      <w:r>
        <w:t>Стоит обратить внимание на тот факт, что менее половины опрошенных считают целью протестующих "защиту социальных и трудовых прав". Очевидно, что именно невыплаты – наиболее вопиющее нарушение этих прав. Если, тем не менее, данная формулировка отмечается респондентами сравнительно редко, то это свидетельствует, может быть, не только о низком уровне правовой культуры, мешающем осмысливать ситуацию в правовых категориях, но и о стремлении интерпретировать требования протестующих как сугубо экономические, по возможности "деполитизировать" их.</w:t>
      </w:r>
    </w:p>
    <w:p w:rsidR="00297F2A" w:rsidRDefault="00297F2A">
      <w:pPr>
        <w:spacing w:before="0" w:after="0"/>
        <w:ind w:firstLine="426"/>
      </w:pPr>
      <w:r>
        <w:t>В пользу этого предположения говорит и то, что сравнительно невелика доля опрошенных, полагающих, что цель участников акций – "повлиять на политику руководства страны или добиться его смены". При этом очевидно, что добиваться выплаты задолженности – как раз и означает "влиять на политику руководства". Что же касается второй части приведенной формулировки, то именно требование об отставке президента, как справедливо отмечают респонденты, отвечая на другой вопрос, выдвигалось в ходе акции 7 октября чаще, чем какое-либо иное. И если большинство опрошенных не верят тому, что эта цель являлась одной из первоочередных для протестующих, то это, вероятно, означает, что сочувствие, адресованное последним, обусловлено не столько согласием с политическими требованиями, сколько возмущением по поводу невыплаты зарплат и пенсий.</w:t>
      </w:r>
    </w:p>
    <w:p w:rsidR="00297F2A" w:rsidRDefault="00297F2A">
      <w:pPr>
        <w:spacing w:before="0" w:after="0"/>
        <w:ind w:firstLine="426"/>
      </w:pPr>
      <w:r>
        <w:t>Речь, подчеркнем, идет не об отношении респондентов к требованию об отставке Б.Ельцина (это требование весьма популярно), а о том, что не оно определяет отношение большинства российских граждан к акциям протеста.</w:t>
      </w:r>
    </w:p>
    <w:p w:rsidR="00297F2A" w:rsidRDefault="00297F2A">
      <w:pPr>
        <w:spacing w:before="0" w:after="0"/>
        <w:ind w:firstLine="426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"Кто руководил акциями протеста 7 октября там, где Вы проживаете?"</w:t>
      </w:r>
      <w:r>
        <w:rPr>
          <w:i/>
          <w:iCs/>
          <w:color w:val="800000"/>
        </w:rPr>
        <w:t xml:space="preserve"> (любое число ответов)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266"/>
        <w:gridCol w:w="673"/>
        <w:gridCol w:w="1191"/>
        <w:gridCol w:w="1191"/>
        <w:gridCol w:w="1056"/>
        <w:gridCol w:w="1326"/>
      </w:tblGrid>
      <w:tr w:rsidR="00297F2A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4762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2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профсоюзы, стачкомы</w:t>
            </w:r>
          </w:p>
        </w:tc>
        <w:tc>
          <w:tcPr>
            <w:tcW w:w="673" w:type="dxa"/>
            <w:tcBorders>
              <w:top w:val="nil"/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9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91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6" w:type="dxa"/>
            <w:tcBorders>
              <w:top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КПРФ</w:t>
            </w:r>
          </w:p>
        </w:tc>
        <w:tc>
          <w:tcPr>
            <w:tcW w:w="673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местная администрация</w:t>
            </w:r>
          </w:p>
        </w:tc>
        <w:tc>
          <w:tcPr>
            <w:tcW w:w="673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коммунистические партии</w:t>
            </w:r>
          </w:p>
        </w:tc>
        <w:tc>
          <w:tcPr>
            <w:tcW w:w="673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национал-патриотические партии и организации</w:t>
            </w:r>
          </w:p>
        </w:tc>
        <w:tc>
          <w:tcPr>
            <w:tcW w:w="673" w:type="dxa"/>
            <w:tcBorders>
              <w:left w:val="nil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7F2A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673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bottom w:val="single" w:sz="12" w:space="0" w:color="auto"/>
            </w:tcBorders>
            <w:shd w:val="pct20" w:color="FFFF00" w:fill="auto"/>
          </w:tcPr>
          <w:p w:rsidR="00297F2A" w:rsidRDefault="00297F2A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297F2A" w:rsidRDefault="00297F2A">
      <w:pPr>
        <w:spacing w:before="0" w:after="0"/>
        <w:ind w:firstLine="426"/>
      </w:pPr>
    </w:p>
    <w:p w:rsidR="00297F2A" w:rsidRDefault="00297F2A">
      <w:pPr>
        <w:spacing w:before="0" w:after="0"/>
        <w:ind w:firstLine="426"/>
      </w:pPr>
      <w:r>
        <w:t xml:space="preserve">И не случайно профсоюзам в целом удалось, как видно из представленных в таблице данных, парировать претензии КПРФ на руководство этой акцией: большинство опрошенных восприняло ее как профсоюзную. В противном случае, вероятно, и отношение респондентов к этой акции было бы не столь благожелательным. </w:t>
      </w:r>
    </w:p>
    <w:p w:rsidR="00297F2A" w:rsidRDefault="00297F2A">
      <w:pPr>
        <w:spacing w:before="0" w:after="0"/>
        <w:ind w:left="426" w:firstLine="425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8000"/>
        </w:rPr>
        <w:t>Приведенные данные не позволяют однозначно судить о том, останется ли акция 7 октября наиболее значительным проявлением социального протеста осенью текущего года, или станет лишь увертюрой к ноябрьским выступлениям. Но результаты опроса, во всяком случае, не дают оснований ожидать увеличения числа участников подобных акций либо полагать, что радикализация их требований встретила бы широкую поддержку.</w:t>
      </w:r>
      <w:r>
        <w:rPr>
          <w:b/>
          <w:bCs/>
          <w:color w:val="008000"/>
        </w:rPr>
        <w:t xml:space="preserve"> </w:t>
      </w:r>
      <w:r>
        <w:rPr>
          <w:b/>
          <w:bCs/>
          <w:i/>
          <w:iCs/>
          <w:color w:val="008000"/>
        </w:rPr>
        <w:t>Качественное же снижение уровня социальной напряженности невозможно до погашения основной части задолженности по зарплатам и пенсиям.</w:t>
      </w:r>
    </w:p>
    <w:sectPr w:rsidR="00297F2A" w:rsidSect="00297F2A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2A" w:rsidRDefault="00297F2A">
      <w:r>
        <w:separator/>
      </w:r>
    </w:p>
  </w:endnote>
  <w:endnote w:type="continuationSeparator" w:id="1">
    <w:p w:rsidR="00297F2A" w:rsidRDefault="0029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2A" w:rsidRDefault="00297F2A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103</w:t>
    </w:r>
    <w:r>
      <w:rPr>
        <w:rFonts w:ascii="Arial" w:hAnsi="Arial" w:cs="Arial"/>
        <w:color w:val="0000FF"/>
        <w:sz w:val="18"/>
        <w:szCs w:val="18"/>
      </w:rPr>
      <w:t xml:space="preserve"> (41</w:t>
    </w:r>
    <w:r>
      <w:rPr>
        <w:rFonts w:ascii="Arial" w:hAnsi="Arial" w:cs="Arial"/>
        <w:color w:val="0000FF"/>
        <w:sz w:val="18"/>
        <w:szCs w:val="18"/>
        <w:lang w:val="en-US"/>
      </w:rPr>
      <w:t>8</w:t>
    </w:r>
    <w:r>
      <w:rPr>
        <w:rFonts w:ascii="Arial" w:hAnsi="Arial" w:cs="Arial"/>
        <w:color w:val="0000FF"/>
        <w:sz w:val="18"/>
        <w:szCs w:val="18"/>
      </w:rPr>
      <w:t>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7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</w:t>
    </w:r>
    <w:r>
      <w:rPr>
        <w:rFonts w:ascii="Arial" w:hAnsi="Arial" w:cs="Arial"/>
        <w:color w:val="0000FF"/>
        <w:sz w:val="18"/>
        <w:szCs w:val="18"/>
        <w:lang w:val="en-US"/>
      </w:rPr>
      <w:t>10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2A" w:rsidRDefault="00297F2A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10</w:t>
    </w:r>
    <w:r>
      <w:rPr>
        <w:rFonts w:ascii="Arial" w:hAnsi="Arial" w:cs="Arial"/>
        <w:color w:val="0000FF"/>
        <w:sz w:val="18"/>
        <w:szCs w:val="18"/>
      </w:rPr>
      <w:t>3 (418)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10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297F2A" w:rsidRDefault="00297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2A" w:rsidRDefault="00297F2A">
      <w:r>
        <w:separator/>
      </w:r>
    </w:p>
  </w:footnote>
  <w:footnote w:type="continuationSeparator" w:id="1">
    <w:p w:rsidR="00297F2A" w:rsidRDefault="00297F2A">
      <w:r>
        <w:continuationSeparator/>
      </w:r>
    </w:p>
  </w:footnote>
  <w:footnote w:id="2">
    <w:p w:rsidR="00297F2A" w:rsidRDefault="00297F2A">
      <w:pPr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color w:val="000080"/>
          <w:spacing w:val="4"/>
          <w:sz w:val="20"/>
          <w:szCs w:val="20"/>
        </w:rPr>
        <w:t>Источник данных:</w:t>
      </w:r>
      <w:r>
        <w:rPr>
          <w:spacing w:val="4"/>
          <w:sz w:val="20"/>
          <w:szCs w:val="20"/>
        </w:rPr>
        <w:t xml:space="preserve"> общероссийский опрос населения, проведенный  </w:t>
      </w:r>
      <w:r>
        <w:rPr>
          <w:b/>
          <w:bCs/>
          <w:spacing w:val="4"/>
          <w:sz w:val="20"/>
          <w:szCs w:val="20"/>
        </w:rPr>
        <w:t>17-18</w:t>
      </w:r>
      <w:r>
        <w:rPr>
          <w:spacing w:val="4"/>
          <w:sz w:val="20"/>
          <w:szCs w:val="20"/>
        </w:rPr>
        <w:t xml:space="preserve"> </w:t>
      </w:r>
      <w:r>
        <w:rPr>
          <w:b/>
          <w:bCs/>
          <w:spacing w:val="4"/>
          <w:sz w:val="20"/>
          <w:szCs w:val="20"/>
        </w:rPr>
        <w:t>ок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softHyphen/>
      </w:r>
      <w:r>
        <w:rPr>
          <w:b/>
          <w:bCs/>
          <w:spacing w:val="4"/>
          <w:sz w:val="20"/>
          <w:szCs w:val="20"/>
        </w:rPr>
        <w:t>тября</w:t>
      </w:r>
      <w:r>
        <w:rPr>
          <w:spacing w:val="4"/>
          <w:sz w:val="20"/>
          <w:szCs w:val="20"/>
        </w:rPr>
        <w:t xml:space="preserve"> 1998 года по репрезентативной выборке в </w:t>
      </w:r>
      <w:r>
        <w:rPr>
          <w:b/>
          <w:bCs/>
          <w:spacing w:val="4"/>
          <w:sz w:val="20"/>
          <w:szCs w:val="20"/>
        </w:rPr>
        <w:t>56</w:t>
      </w:r>
      <w:r>
        <w:rPr>
          <w:spacing w:val="4"/>
          <w:sz w:val="20"/>
          <w:szCs w:val="20"/>
        </w:rPr>
        <w:t> населен</w:t>
      </w:r>
      <w:r>
        <w:rPr>
          <w:rFonts w:ascii="Times New Roman" w:hAnsi="Times New Roman" w:cs="Times New Roman"/>
          <w:spacing w:val="4"/>
          <w:sz w:val="20"/>
          <w:szCs w:val="20"/>
          <w:lang w:val="en-US"/>
        </w:rPr>
        <w:softHyphen/>
      </w:r>
      <w:r>
        <w:rPr>
          <w:spacing w:val="4"/>
          <w:sz w:val="20"/>
          <w:szCs w:val="20"/>
        </w:rPr>
        <w:t xml:space="preserve">ных пунктах </w:t>
      </w:r>
      <w:r>
        <w:rPr>
          <w:b/>
          <w:bCs/>
          <w:spacing w:val="4"/>
          <w:sz w:val="20"/>
          <w:szCs w:val="20"/>
        </w:rPr>
        <w:t>29</w:t>
      </w:r>
      <w:r>
        <w:rPr>
          <w:spacing w:val="4"/>
          <w:sz w:val="20"/>
          <w:szCs w:val="20"/>
        </w:rPr>
        <w:t xml:space="preserve"> областей, краев и республик всех экономико-географических зон России. Интервью по месту жительства. Объем выборки – </w:t>
      </w:r>
      <w:r>
        <w:rPr>
          <w:b/>
          <w:bCs/>
          <w:spacing w:val="4"/>
          <w:sz w:val="20"/>
          <w:szCs w:val="20"/>
        </w:rPr>
        <w:t>1500</w:t>
      </w:r>
      <w:r>
        <w:rPr>
          <w:spacing w:val="4"/>
          <w:sz w:val="20"/>
          <w:szCs w:val="20"/>
        </w:rPr>
        <w:t> респондентов.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CC"/>
    <w:rsid w:val="00297F2A"/>
    <w:rsid w:val="0049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0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0" w:after="300"/>
      <w:ind w:left="992" w:hanging="425"/>
      <w:jc w:val="left"/>
      <w:outlineLvl w:val="1"/>
    </w:pPr>
    <w:rPr>
      <w:b/>
      <w:bCs/>
      <w:i/>
      <w:iCs/>
      <w:color w:val="008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/>
      <w:ind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3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3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3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3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35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35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3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359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359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0359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35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0</TotalTime>
  <Pages>10</Pages>
  <Words>2134</Words>
  <Characters>12164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1998-10-28T16:34:00Z</cp:lastPrinted>
  <dcterms:created xsi:type="dcterms:W3CDTF">2017-08-01T17:56:00Z</dcterms:created>
  <dcterms:modified xsi:type="dcterms:W3CDTF">2017-08-01T17:56:00Z</dcterms:modified>
</cp:coreProperties>
</file>