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2D08FD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 46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(241)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2D08FD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2D08FD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2D08FD" w:rsidRDefault="002D08FD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2D08FD" w:rsidRDefault="002D08FD">
      <w:pPr>
        <w:ind w:left="3402"/>
        <w:rPr>
          <w:rFonts w:ascii="TimesType" w:hAnsi="TimesType" w:cs="TimesType"/>
        </w:rPr>
      </w:pPr>
    </w:p>
    <w:p w:rsidR="002D08FD" w:rsidRDefault="002D08FD">
      <w:pPr>
        <w:ind w:left="3402"/>
        <w:rPr>
          <w:rFonts w:ascii="TimesType" w:hAnsi="TimesType" w:cs="TimesType"/>
        </w:rPr>
      </w:pPr>
    </w:p>
    <w:p w:rsidR="002D08FD" w:rsidRDefault="002D08F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19.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1.98 г.,</w:t>
      </w:r>
    </w:p>
    <w:p w:rsidR="002D08FD" w:rsidRDefault="002D08F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2D08FD" w:rsidRDefault="002D08FD">
      <w:pPr>
        <w:ind w:left="3402"/>
        <w:rPr>
          <w:rFonts w:ascii="TimesType" w:hAnsi="TimesType" w:cs="TimesType"/>
        </w:rPr>
      </w:pPr>
    </w:p>
    <w:p w:rsidR="002D08FD" w:rsidRDefault="002D08FD"/>
    <w:p w:rsidR="002D08FD" w:rsidRDefault="002D08FD"/>
    <w:p w:rsidR="002D08FD" w:rsidRDefault="002D08FD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2D08FD" w:rsidRDefault="002D08FD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2D08FD" w:rsidRDefault="002D08FD" w:rsidP="00D525D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t>Прав ли Г.Явлинский, говоря о коррупции в правительстве?</w:t>
      </w:r>
    </w:p>
    <w:p w:rsidR="002D08FD" w:rsidRDefault="002D08FD" w:rsidP="00D525D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Где правое, где левое?</w:t>
      </w:r>
    </w:p>
    <w:p w:rsidR="002D08FD" w:rsidRDefault="002D08FD" w:rsidP="00D525D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Экономические проблемы - главное препятствие на пути примирения и согласия</w:t>
      </w:r>
    </w:p>
    <w:p w:rsidR="002D08FD" w:rsidRDefault="002D08FD" w:rsidP="00D525D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присутствии России в "горячих точках" ближнего зарубежья</w:t>
      </w:r>
    </w:p>
    <w:p w:rsidR="002D08FD" w:rsidRDefault="002D08FD" w:rsidP="00D525D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Самые престижные профессии в современной России</w:t>
      </w:r>
    </w:p>
    <w:p w:rsidR="002D08FD" w:rsidRDefault="002D08FD" w:rsidP="00D525D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Что думают россияне о 2000 годе</w:t>
      </w:r>
    </w:p>
    <w:p w:rsidR="002D08FD" w:rsidRDefault="002D08FD" w:rsidP="00D525D8">
      <w:pPr>
        <w:pStyle w:val="a2"/>
        <w:numPr>
          <w:ilvl w:val="0"/>
          <w:numId w:val="0"/>
        </w:numPr>
        <w:ind w:left="709" w:hanging="284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2D08FD" w:rsidRDefault="002D08FD">
      <w:pPr>
        <w:pStyle w:val="a"/>
      </w:pPr>
      <w:r>
        <w:br w:type="column"/>
        <w:t>Коррупция</w:t>
      </w:r>
      <w:r>
        <w:tab/>
        <w:t>98/46-01</w:t>
      </w:r>
    </w:p>
    <w:p w:rsidR="002D08FD" w:rsidRDefault="002D08FD">
      <w:pPr>
        <w:pStyle w:val="Heading1"/>
      </w:pPr>
      <w:r>
        <w:t>Прав ли Г.Явлинский, говоря о коррупции в правительстве?</w:t>
      </w:r>
    </w:p>
    <w:p w:rsidR="002D08FD" w:rsidRDefault="002D08FD">
      <w:pPr>
        <w:pStyle w:val="a8"/>
        <w:spacing w:line="380" w:lineRule="exact"/>
      </w:pPr>
      <w:r>
        <w:t>Как известно, Г.Явлинский недавно заявил о коррупции в правительстве. Согласно результатам проведенного после этого социологического опроса, три четверти респондентов (76%) полагают, что Г.Явлинский прав, и только 8% с ним не согласны.</w:t>
      </w:r>
    </w:p>
    <w:p w:rsidR="002D08FD" w:rsidRDefault="002D08FD">
      <w:pPr>
        <w:pStyle w:val="a8"/>
        <w:spacing w:line="380" w:lineRule="exact"/>
      </w:pPr>
      <w:r>
        <w:t>При этом более половины опрошенных (54%) не сомневаются, что Г.Явлинский, выдвигая свои обвинения, действовал из лучших побуждений, хотел помочь новому правительству. Лишь 12% россиян склонны расценивать слова лидера "Яблока" как попытку помешать работе нового правительства.</w:t>
      </w:r>
    </w:p>
    <w:p w:rsidR="002D08FD" w:rsidRDefault="002D08FD">
      <w:pPr>
        <w:pStyle w:val="a8"/>
        <w:spacing w:line="380" w:lineRule="exact"/>
      </w:pPr>
      <w:r>
        <w:t>В целом население весьма озабочено проблемой коррупции: две трети россиян (62%) считают, что для преодоления кризиса в стране необходимо избавиться от коррупции в органах управления. Не считает это одной из первоочередных задач в среднем четверть опрошенных (26%), а среди жителей Москвы и Санкт-Петербурга - треть (36%).</w:t>
      </w:r>
    </w:p>
    <w:p w:rsidR="002D08FD" w:rsidRDefault="002D08FD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7 ноября 1998 года. 1500 респондентов.</w:t>
      </w:r>
    </w:p>
    <w:p w:rsidR="002D08FD" w:rsidRDefault="002D08FD">
      <w:pPr>
        <w:pStyle w:val="a"/>
      </w:pPr>
      <w:r>
        <w:t>Политика</w:t>
      </w:r>
      <w:r>
        <w:tab/>
        <w:t>98/46-02</w:t>
      </w:r>
    </w:p>
    <w:p w:rsidR="002D08FD" w:rsidRDefault="002D08FD">
      <w:pPr>
        <w:pStyle w:val="Heading1"/>
      </w:pPr>
      <w:r>
        <w:t>Где правое, где левое?</w:t>
      </w:r>
    </w:p>
    <w:p w:rsidR="002D08FD" w:rsidRDefault="002D08FD">
      <w:pPr>
        <w:pStyle w:val="a8"/>
        <w:spacing w:line="380" w:lineRule="exact"/>
      </w:pPr>
      <w:r>
        <w:t xml:space="preserve">В СМИ постоянно говорится о том, что в России существуют политические партии и движения, выражающие левые, правые и центристские взгляды. Но насколько укоренились эти понятия в сознании рядовых граждан? Чтобы получить представление об этом, респондентам в очередном опросе был предложен список 15 партий и движений с просьбой сказать, какие из перечисленных партий, движений они отнесли бы сегодня к "левым", к "центру" и к "правым". Рассмотрим ответы, относящиеся к партиям, которые представлены наиболее крупными фракциями в Госдуме. </w:t>
      </w:r>
    </w:p>
    <w:p w:rsidR="002D08FD" w:rsidRDefault="002D08FD">
      <w:pPr>
        <w:pStyle w:val="a8"/>
        <w:spacing w:line="380" w:lineRule="exact"/>
      </w:pPr>
      <w:r>
        <w:t>Как показал опрос, твердая репутация "левых" есть только у КПРФ. К таковым отнесли партию, руководимую Г.Зюгановым, 35% респондентов. "Цент</w:t>
      </w:r>
      <w:r>
        <w:softHyphen/>
        <w:t>ристской" назвали ее 3% опрошенных, "правой" - 2%.</w:t>
      </w:r>
    </w:p>
    <w:p w:rsidR="002D08FD" w:rsidRDefault="002D08FD">
      <w:pPr>
        <w:pStyle w:val="a8"/>
        <w:spacing w:line="380" w:lineRule="exact"/>
      </w:pPr>
      <w:r>
        <w:t>Что касается других парламентских партий, то респонденты не смогли столь же четко определить их политическую ориентацию.</w:t>
      </w:r>
    </w:p>
    <w:p w:rsidR="002D08FD" w:rsidRDefault="002D08FD">
      <w:pPr>
        <w:pStyle w:val="a8"/>
        <w:spacing w:line="380" w:lineRule="exact"/>
      </w:pPr>
      <w:r>
        <w:t>НДР причислили к "правым" 10% респондентов, к "центру" - 9%, а к "левым" - 2%. ЛДПР назвали "левой" 5% опрошенных, такая же доля - "правыми", а 3% отнесли партию В.Жириновского к "центру". Аналогичная картина и в отношении "Яблока": по 5% респондентов сочли это общественно-политическое движение "левым" и "правым", а 6% отнесли его к "центру".</w:t>
      </w:r>
    </w:p>
    <w:p w:rsidR="002D08FD" w:rsidRDefault="002D08FD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31 октября 1998 года. 1500 респондентов.</w:t>
      </w:r>
    </w:p>
    <w:p w:rsidR="002D08FD" w:rsidRDefault="002D08FD">
      <w:pPr>
        <w:pStyle w:val="a"/>
        <w:rPr>
          <w:lang w:val="en-US"/>
        </w:rPr>
      </w:pPr>
      <w:r>
        <w:t>Консенсус</w:t>
      </w:r>
      <w:r>
        <w:tab/>
        <w:t>98/46-03</w:t>
      </w:r>
    </w:p>
    <w:p w:rsidR="002D08FD" w:rsidRDefault="002D08FD">
      <w:pPr>
        <w:pStyle w:val="Heading1"/>
      </w:pPr>
      <w:r>
        <w:t>Экономические проблемы - главное препятствие на пути примирения и согласия</w:t>
      </w:r>
    </w:p>
    <w:p w:rsidR="002D08FD" w:rsidRDefault="002D08FD">
      <w:pPr>
        <w:pStyle w:val="a8"/>
      </w:pPr>
      <w:r>
        <w:t>Респондентам задавался вопрос "К</w:t>
      </w:r>
      <w:r>
        <w:rPr>
          <w:caps/>
        </w:rPr>
        <w:t xml:space="preserve">ак вы думаете, что сейчас главное для достижения примирения и согласия в обществе?" </w:t>
      </w:r>
      <w:r>
        <w:t>и предлагался список условий, необходимых для достижения этой цели. Аналогичный вопрос задавался полтора года назад. Приведем сравнительные данные (в % от числа опрошенных):</w:t>
      </w:r>
    </w:p>
    <w:p w:rsidR="002D08FD" w:rsidRDefault="002D08FD" w:rsidP="00D525D8">
      <w:pPr>
        <w:pStyle w:val="a6"/>
        <w:numPr>
          <w:ilvl w:val="0"/>
          <w:numId w:val="0"/>
        </w:numPr>
        <w:tabs>
          <w:tab w:val="clear" w:pos="3969"/>
          <w:tab w:val="clear" w:pos="5670"/>
          <w:tab w:val="clear" w:pos="7371"/>
          <w:tab w:val="left" w:pos="6804"/>
          <w:tab w:val="left" w:pos="7938"/>
          <w:tab w:val="left" w:pos="8222"/>
        </w:tabs>
        <w:ind w:firstLine="709"/>
        <w:rPr>
          <w:i/>
          <w:iCs/>
          <w:spacing w:val="-6"/>
        </w:rPr>
      </w:pPr>
      <w:r>
        <w:tab/>
      </w:r>
      <w:r>
        <w:rPr>
          <w:i/>
          <w:iCs/>
          <w:spacing w:val="-6"/>
        </w:rPr>
        <w:t>Июнь-97</w:t>
      </w:r>
      <w:r>
        <w:rPr>
          <w:i/>
          <w:iCs/>
          <w:spacing w:val="-6"/>
        </w:rPr>
        <w:tab/>
        <w:t>Ноябрь-98</w:t>
      </w:r>
    </w:p>
    <w:p w:rsidR="002D08FD" w:rsidRDefault="002D08FD" w:rsidP="00D525D8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7088"/>
          <w:tab w:val="left" w:pos="8364"/>
        </w:tabs>
        <w:ind w:left="993" w:hanging="284"/>
      </w:pPr>
      <w:r>
        <w:t xml:space="preserve">решить экономические проблемы, </w:t>
      </w:r>
      <w:r>
        <w:br/>
        <w:t>повысить уровень благосостояния</w:t>
      </w:r>
      <w:r>
        <w:tab/>
        <w:t>65</w:t>
      </w:r>
      <w:r>
        <w:tab/>
        <w:t>71</w:t>
      </w:r>
    </w:p>
    <w:p w:rsidR="002D08FD" w:rsidRDefault="002D08FD" w:rsidP="00D525D8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7088"/>
          <w:tab w:val="left" w:pos="8364"/>
        </w:tabs>
        <w:ind w:left="993" w:hanging="284"/>
      </w:pPr>
      <w:r>
        <w:t>восстановить сильное государство</w:t>
      </w:r>
      <w:r>
        <w:tab/>
        <w:t>35</w:t>
      </w:r>
      <w:r>
        <w:tab/>
        <w:t>40</w:t>
      </w:r>
    </w:p>
    <w:p w:rsidR="002D08FD" w:rsidRDefault="002D08FD" w:rsidP="00D525D8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7088"/>
          <w:tab w:val="left" w:pos="8364"/>
        </w:tabs>
        <w:ind w:left="993" w:hanging="284"/>
      </w:pPr>
      <w:r>
        <w:t>устранить расслоение общества на бедных и богатых</w:t>
      </w:r>
      <w:r>
        <w:tab/>
        <w:t>39</w:t>
      </w:r>
      <w:r>
        <w:tab/>
        <w:t>37</w:t>
      </w:r>
    </w:p>
    <w:p w:rsidR="002D08FD" w:rsidRDefault="002D08FD" w:rsidP="00D525D8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7088"/>
          <w:tab w:val="left" w:pos="8364"/>
        </w:tabs>
        <w:ind w:left="993" w:hanging="284"/>
      </w:pPr>
      <w:r>
        <w:t>добиться примирения различных политических сил</w:t>
      </w:r>
      <w:r>
        <w:tab/>
        <w:t>23</w:t>
      </w:r>
      <w:r>
        <w:tab/>
        <w:t>24</w:t>
      </w:r>
    </w:p>
    <w:p w:rsidR="002D08FD" w:rsidRDefault="002D08FD" w:rsidP="00D525D8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7088"/>
          <w:tab w:val="left" w:pos="8364"/>
        </w:tabs>
        <w:ind w:left="993" w:hanging="284"/>
      </w:pPr>
      <w:r>
        <w:t xml:space="preserve">необходимо духовное возрождение России, </w:t>
      </w:r>
      <w:r>
        <w:br/>
        <w:t>подъем культурной жизни</w:t>
      </w:r>
      <w:r>
        <w:tab/>
        <w:t>26</w:t>
      </w:r>
      <w:r>
        <w:tab/>
        <w:t>23</w:t>
      </w:r>
    </w:p>
    <w:p w:rsidR="002D08FD" w:rsidRDefault="002D08FD" w:rsidP="00D525D8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7230"/>
          <w:tab w:val="left" w:pos="8505"/>
        </w:tabs>
        <w:ind w:left="993" w:hanging="284"/>
      </w:pPr>
      <w:r>
        <w:t>необходима общенациональная идея</w:t>
      </w:r>
      <w:r>
        <w:tab/>
        <w:t>6</w:t>
      </w:r>
      <w:r>
        <w:tab/>
        <w:t>6</w:t>
      </w:r>
    </w:p>
    <w:p w:rsidR="002D08FD" w:rsidRDefault="002D08FD">
      <w:pPr>
        <w:pStyle w:val="a8"/>
        <w:spacing w:line="240" w:lineRule="auto"/>
      </w:pPr>
    </w:p>
    <w:p w:rsidR="002D08FD" w:rsidRDefault="002D08FD">
      <w:pPr>
        <w:pStyle w:val="a8"/>
        <w:rPr>
          <w:spacing w:val="6"/>
        </w:rPr>
      </w:pPr>
      <w:r>
        <w:rPr>
          <w:spacing w:val="6"/>
        </w:rPr>
        <w:t>Как видно из приведенных данных, главным условием общественного примирения и согласия для россиян сегодня, как и полтора года назад, является в первую очередь решение экономических проблем, а не урегулирование отношений между разными политическими силами. За период между двумя опросами выросли доли тех, кто в своем ответе отдал приоритет двум позициям - повышению уровня жизни и восстановлению сильного государства.</w:t>
      </w:r>
    </w:p>
    <w:p w:rsidR="002D08FD" w:rsidRDefault="002D08FD">
      <w:pPr>
        <w:pStyle w:val="a8"/>
        <w:rPr>
          <w:spacing w:val="6"/>
        </w:rPr>
      </w:pPr>
      <w:r>
        <w:rPr>
          <w:spacing w:val="6"/>
        </w:rPr>
        <w:t>Чаще других считают главной предпосылкой примирения и согласия в обществе решение экономических проблем сторонники Ю.Лужкова (77%). Они же, наряду со сторонниками А.Лебедя, особенно часто называют в ряду таких предпосылок сильное государство (48% и 45% соответственно). Связывают достижение примирения и согласия с духовным возрождением России чаще других сторонники Г.Явлинского (33%). На необходимость устранения социального неравенства в обществе чаще, чем остальные,  ссылаются сторонники А.Лебедя (44%), Г.Зюганова (42%), а также те, кто на президентских выборах проголосовал бы за Е.Примакова (43%).</w:t>
      </w:r>
    </w:p>
    <w:p w:rsidR="002D08FD" w:rsidRDefault="002D08FD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Всероссийские опросы городского и сельского населения. 21 июня 1997 года и 7 ноября 1998 года. По 1500 респондентов.</w:t>
      </w:r>
    </w:p>
    <w:p w:rsidR="002D08FD" w:rsidRDefault="002D08FD">
      <w:pPr>
        <w:pStyle w:val="a"/>
      </w:pPr>
      <w:r>
        <w:t>Национальные интересы</w:t>
      </w:r>
      <w:r>
        <w:tab/>
        <w:t>98/46-04</w:t>
      </w:r>
    </w:p>
    <w:p w:rsidR="002D08FD" w:rsidRDefault="002D08FD">
      <w:pPr>
        <w:pStyle w:val="Heading1"/>
      </w:pPr>
      <w:r>
        <w:t>О присутствии России в "горячих точках" ближнего зарубежья</w:t>
      </w:r>
    </w:p>
    <w:p w:rsidR="002D08FD" w:rsidRDefault="002D08FD">
      <w:pPr>
        <w:pStyle w:val="a8"/>
        <w:spacing w:line="380" w:lineRule="exact"/>
        <w:rPr>
          <w:spacing w:val="6"/>
        </w:rPr>
      </w:pPr>
      <w:r>
        <w:rPr>
          <w:spacing w:val="6"/>
        </w:rPr>
        <w:t>Респондентам был задан вопрос: "</w:t>
      </w:r>
      <w:r>
        <w:rPr>
          <w:caps/>
          <w:spacing w:val="6"/>
        </w:rPr>
        <w:t>вы лично одобряете или не одобряете факт присутствия российских воинских подразде</w:t>
      </w:r>
      <w:r>
        <w:rPr>
          <w:caps/>
          <w:spacing w:val="6"/>
        </w:rPr>
        <w:softHyphen/>
        <w:t>лений в некоторых "горячих точках" ближнего зарубежья?".</w:t>
      </w:r>
      <w:r>
        <w:rPr>
          <w:spacing w:val="6"/>
        </w:rPr>
        <w:t xml:space="preserve"> Положительный ответ дали 19% опрошенных, но подавляющее большинство - 73% - отрицательный.</w:t>
      </w:r>
    </w:p>
    <w:p w:rsidR="002D08FD" w:rsidRDefault="002D08FD">
      <w:pPr>
        <w:pStyle w:val="a8"/>
        <w:spacing w:line="380" w:lineRule="exact"/>
        <w:rPr>
          <w:spacing w:val="8"/>
        </w:rPr>
      </w:pPr>
      <w:r>
        <w:rPr>
          <w:spacing w:val="8"/>
        </w:rPr>
        <w:t xml:space="preserve">Более других не одобряют присутствие российских войск в "горячих точках" ближнего зарубежья женщины и лица моложе 35 лет (по 77%). </w:t>
      </w:r>
      <w:r>
        <w:rPr>
          <w:spacing w:val="4"/>
        </w:rPr>
        <w:t>Поддерживают это присутствие несколько чаще, чем население в среднем, мужчины (25%), жители больших городов (26%) и лица с высшим образованием (31%).</w:t>
      </w:r>
    </w:p>
    <w:p w:rsidR="002D08FD" w:rsidRDefault="002D08FD">
      <w:pPr>
        <w:pStyle w:val="a8"/>
        <w:spacing w:line="380" w:lineRule="exact"/>
        <w:rPr>
          <w:spacing w:val="8"/>
        </w:rPr>
      </w:pPr>
      <w:r>
        <w:rPr>
          <w:spacing w:val="8"/>
        </w:rPr>
        <w:t xml:space="preserve">Еще больше среди респондентов противников того, чтобы российские воинские подразделения участвовали в вооруженных столкновениях, которые периодически  возникают в "горячих точках" ближнего зарубежья. Против этого - четверо из каждых пяти опрошенных (82%), за - лишь 12%. </w:t>
      </w:r>
    </w:p>
    <w:p w:rsidR="002D08FD" w:rsidRDefault="002D08FD">
      <w:pPr>
        <w:pStyle w:val="a8"/>
        <w:spacing w:line="380" w:lineRule="exact"/>
        <w:rPr>
          <w:spacing w:val="8"/>
        </w:rPr>
      </w:pPr>
      <w:r>
        <w:rPr>
          <w:spacing w:val="8"/>
        </w:rPr>
        <w:t>Чаще других считают правильным участие российских военных в вооруженных конфликтах на территории стран ближнего зарубежья опять-таки мужчины и жители больших городов (по 17%), а также лица с высшим образованием (22%).</w:t>
      </w:r>
    </w:p>
    <w:p w:rsidR="002D08FD" w:rsidRDefault="002D08FD">
      <w:pPr>
        <w:pStyle w:val="a0"/>
      </w:pPr>
      <w:r>
        <w:rPr>
          <w:spacing w:val="-4"/>
        </w:rPr>
        <w:t>Фонд "Общественное мнение". Всероссийский опрос городского и сельского населения. 31 октября 1998 года. 1500 респондентов.</w:t>
      </w:r>
    </w:p>
    <w:p w:rsidR="002D08FD" w:rsidRDefault="002D08FD">
      <w:pPr>
        <w:pStyle w:val="a"/>
      </w:pPr>
      <w:r>
        <w:t>Молодежь</w:t>
      </w:r>
      <w:r>
        <w:tab/>
        <w:t>98/46-05</w:t>
      </w:r>
    </w:p>
    <w:p w:rsidR="002D08FD" w:rsidRDefault="002D08FD">
      <w:pPr>
        <w:pStyle w:val="Heading1"/>
      </w:pPr>
      <w:r>
        <w:t>Самые престижные профессии в современной России</w:t>
      </w:r>
    </w:p>
    <w:p w:rsidR="002D08FD" w:rsidRDefault="002D08FD">
      <w:r>
        <w:t>Респондентам в прошлом и нынешнем году был задан вопрос: "</w:t>
      </w:r>
      <w:r>
        <w:rPr>
          <w:caps/>
        </w:rPr>
        <w:t>Какие профессии сегодня, на ваш взгляд, наиболее популярны, кем чаще всего хотят стать сегодняшние молодые люди?".</w:t>
      </w:r>
      <w:r>
        <w:t xml:space="preserve"> При этом прилагался перечень 18 сфер деятельности. Отвечавшие должны были выбрать из перечня не больше трех позиций. </w:t>
      </w:r>
    </w:p>
    <w:p w:rsidR="002D08FD" w:rsidRDefault="002D08FD">
      <w:r>
        <w:t>Самыми престижными оказались профессии, связанные со следующими сферами деятельности (в % от числа опрошенных):</w:t>
      </w:r>
    </w:p>
    <w:p w:rsidR="002D08FD" w:rsidRDefault="002D08FD">
      <w:pPr>
        <w:keepNext/>
        <w:tabs>
          <w:tab w:val="left" w:pos="5812"/>
          <w:tab w:val="left" w:pos="7655"/>
        </w:tabs>
        <w:rPr>
          <w:i/>
          <w:iCs/>
          <w:sz w:val="22"/>
          <w:szCs w:val="22"/>
        </w:rPr>
      </w:pPr>
      <w:r>
        <w:rPr>
          <w:i/>
          <w:iCs/>
        </w:rPr>
        <w:tab/>
      </w:r>
      <w:r>
        <w:rPr>
          <w:i/>
          <w:iCs/>
          <w:sz w:val="22"/>
          <w:szCs w:val="22"/>
        </w:rPr>
        <w:t>Июнь-97</w:t>
      </w:r>
      <w:r>
        <w:rPr>
          <w:i/>
          <w:iCs/>
          <w:sz w:val="22"/>
          <w:szCs w:val="22"/>
        </w:rPr>
        <w:tab/>
        <w:t>Октябрь-98</w:t>
      </w:r>
    </w:p>
    <w:p w:rsidR="002D08FD" w:rsidRDefault="002D08FD" w:rsidP="00D525D8">
      <w:pPr>
        <w:pStyle w:val="2"/>
        <w:numPr>
          <w:ilvl w:val="0"/>
          <w:numId w:val="2"/>
        </w:numPr>
        <w:ind w:left="993" w:hanging="284"/>
      </w:pPr>
      <w:r>
        <w:t>финансы</w:t>
      </w:r>
      <w:r>
        <w:tab/>
        <w:t>37</w:t>
      </w:r>
      <w:r>
        <w:tab/>
        <w:t>39</w:t>
      </w:r>
    </w:p>
    <w:p w:rsidR="002D08FD" w:rsidRDefault="002D08FD" w:rsidP="00D525D8">
      <w:pPr>
        <w:pStyle w:val="2"/>
        <w:numPr>
          <w:ilvl w:val="0"/>
          <w:numId w:val="2"/>
        </w:numPr>
        <w:ind w:left="993" w:hanging="284"/>
      </w:pPr>
      <w:r>
        <w:t>частное предпринимательство</w:t>
      </w:r>
      <w:r>
        <w:tab/>
        <w:t>50</w:t>
      </w:r>
      <w:r>
        <w:tab/>
        <w:t>39</w:t>
      </w:r>
    </w:p>
    <w:p w:rsidR="002D08FD" w:rsidRDefault="002D08FD" w:rsidP="00D525D8">
      <w:pPr>
        <w:pStyle w:val="2"/>
        <w:numPr>
          <w:ilvl w:val="0"/>
          <w:numId w:val="2"/>
        </w:numPr>
        <w:ind w:left="993" w:hanging="284"/>
      </w:pPr>
      <w:r>
        <w:t>право, юридическая деятельность</w:t>
      </w:r>
      <w:r>
        <w:tab/>
        <w:t>25</w:t>
      </w:r>
      <w:r>
        <w:tab/>
        <w:t>31</w:t>
      </w:r>
    </w:p>
    <w:p w:rsidR="002D08FD" w:rsidRDefault="002D08FD" w:rsidP="00D525D8">
      <w:pPr>
        <w:pStyle w:val="2"/>
        <w:numPr>
          <w:ilvl w:val="0"/>
          <w:numId w:val="2"/>
        </w:numPr>
        <w:ind w:left="993" w:hanging="284"/>
      </w:pPr>
      <w:r>
        <w:t>управление фирмой, компанией, маркетинг</w:t>
      </w:r>
      <w:r>
        <w:tab/>
        <w:t>28</w:t>
      </w:r>
      <w:r>
        <w:tab/>
        <w:t>27</w:t>
      </w:r>
    </w:p>
    <w:p w:rsidR="002D08FD" w:rsidRDefault="002D08FD">
      <w:pPr>
        <w:spacing w:line="240" w:lineRule="auto"/>
      </w:pPr>
    </w:p>
    <w:p w:rsidR="002D08FD" w:rsidRDefault="002D08FD">
      <w:r>
        <w:t xml:space="preserve">Добавим, что реже всего в том и другом опросе респонденты выбирали спорт, науку и искусство (по 1% на каждую область деятельности). </w:t>
      </w:r>
    </w:p>
    <w:p w:rsidR="002D08FD" w:rsidRDefault="002D08FD">
      <w:r>
        <w:t>Как видно из приведенных данных, за прошедший год значительно уменьшилась доля россиян, причисляющих частное предпринимательство к престижным среди молодежи видам занятости. Возможно, это связано с нынешним финансовым кризисом, подорвавшим позиции многих мелких предпринимателей.</w:t>
      </w:r>
    </w:p>
    <w:p w:rsidR="002D08FD" w:rsidRDefault="002D08FD">
      <w:pPr>
        <w:rPr>
          <w:spacing w:val="6"/>
        </w:rPr>
      </w:pPr>
      <w:r>
        <w:rPr>
          <w:spacing w:val="6"/>
        </w:rPr>
        <w:t xml:space="preserve">В то же время увеличилась доля респондентов, отмечающих среди престижных профессии, связанные со сферой права. Причем те, кто моложе 35 лет, поставили эти профессии в "рейтинге престижности" на второе место (41%). </w:t>
      </w:r>
    </w:p>
    <w:p w:rsidR="002D08FD" w:rsidRDefault="002D08FD">
      <w:pPr>
        <w:rPr>
          <w:spacing w:val="6"/>
        </w:rPr>
      </w:pPr>
      <w:r>
        <w:rPr>
          <w:spacing w:val="6"/>
        </w:rPr>
        <w:t>Правовая деятельность оказалась единственной сферой, которую молодые называли чаще, чем представители других возрастных групп. По остальным позициям представления "отцов" и "детей" о престижности профессий в сегодняшней России совпали.</w:t>
      </w:r>
    </w:p>
    <w:p w:rsidR="002D08FD" w:rsidRDefault="002D08FD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Всероссийские опросы городского и сельского населения. 7 июня 1997 года и 24 октября 1998 года. По 1500 респондентов.</w:t>
      </w:r>
    </w:p>
    <w:p w:rsidR="002D08FD" w:rsidRDefault="002D08FD">
      <w:pPr>
        <w:pStyle w:val="a"/>
      </w:pPr>
      <w:r>
        <w:t>Ожидания</w:t>
      </w:r>
      <w:r>
        <w:tab/>
        <w:t>98/46-06</w:t>
      </w:r>
    </w:p>
    <w:p w:rsidR="002D08FD" w:rsidRDefault="002D08FD">
      <w:pPr>
        <w:pStyle w:val="Heading1"/>
      </w:pPr>
      <w:r>
        <w:t>Что думают россияне о 2000 годе</w:t>
      </w:r>
    </w:p>
    <w:p w:rsidR="002D08FD" w:rsidRDefault="002D08FD">
      <w:pPr>
        <w:pStyle w:val="a8"/>
        <w:rPr>
          <w:spacing w:val="6"/>
        </w:rPr>
      </w:pPr>
      <w:r>
        <w:rPr>
          <w:spacing w:val="6"/>
        </w:rPr>
        <w:t>В недавнем опросе респондентам предлагалось из ряда характеристик выбрать те, которые больше всего отвечают их отношению к приближающемуся 2000 году. Были получены следующие ответы (данные в % от числа опрошенных):</w:t>
      </w:r>
    </w:p>
    <w:p w:rsidR="002D08FD" w:rsidRDefault="002D08FD">
      <w:pPr>
        <w:pStyle w:val="10"/>
      </w:pPr>
      <w:r>
        <w:t>Это дата:</w:t>
      </w:r>
    </w:p>
    <w:p w:rsidR="002D08FD" w:rsidRDefault="002D08FD" w:rsidP="00D525D8">
      <w:pPr>
        <w:pStyle w:val="1"/>
        <w:numPr>
          <w:ilvl w:val="0"/>
          <w:numId w:val="2"/>
        </w:numPr>
        <w:ind w:left="993" w:hanging="284"/>
      </w:pPr>
      <w:r>
        <w:t>обыкновенная, просто очередная, смена года</w:t>
      </w:r>
      <w:r>
        <w:tab/>
        <w:t>37</w:t>
      </w:r>
    </w:p>
    <w:p w:rsidR="002D08FD" w:rsidRDefault="002D08FD" w:rsidP="00D525D8">
      <w:pPr>
        <w:pStyle w:val="1"/>
        <w:numPr>
          <w:ilvl w:val="0"/>
          <w:numId w:val="2"/>
        </w:numPr>
        <w:ind w:left="993" w:hanging="284"/>
      </w:pPr>
      <w:r>
        <w:t>тревожная, мрачная</w:t>
      </w:r>
      <w:r>
        <w:tab/>
        <w:t>24</w:t>
      </w:r>
    </w:p>
    <w:p w:rsidR="002D08FD" w:rsidRDefault="002D08FD" w:rsidP="00D525D8">
      <w:pPr>
        <w:pStyle w:val="1"/>
        <w:numPr>
          <w:ilvl w:val="0"/>
          <w:numId w:val="2"/>
        </w:numPr>
        <w:ind w:left="993" w:hanging="284"/>
      </w:pPr>
      <w:r>
        <w:t>радостная, праздничная</w:t>
      </w:r>
      <w:r>
        <w:tab/>
        <w:t>20</w:t>
      </w:r>
    </w:p>
    <w:p w:rsidR="002D08FD" w:rsidRDefault="002D08FD" w:rsidP="00D525D8">
      <w:pPr>
        <w:pStyle w:val="1"/>
        <w:numPr>
          <w:ilvl w:val="0"/>
          <w:numId w:val="2"/>
        </w:numPr>
        <w:ind w:left="993" w:hanging="284"/>
      </w:pPr>
      <w:r>
        <w:t>странная, удивительная</w:t>
      </w:r>
      <w:r>
        <w:tab/>
        <w:t>12</w:t>
      </w:r>
    </w:p>
    <w:p w:rsidR="002D08FD" w:rsidRDefault="002D08FD" w:rsidP="00D525D8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затруднились ответить</w:t>
      </w:r>
      <w:r>
        <w:tab/>
        <w:t>7</w:t>
      </w:r>
    </w:p>
    <w:p w:rsidR="002D08FD" w:rsidRDefault="002D08FD">
      <w:pPr>
        <w:pStyle w:val="a8"/>
        <w:spacing w:line="240" w:lineRule="auto"/>
      </w:pPr>
    </w:p>
    <w:p w:rsidR="002D08FD" w:rsidRDefault="002D08FD">
      <w:pPr>
        <w:pStyle w:val="a8"/>
      </w:pPr>
      <w:r>
        <w:t>Как видим, лишь у трети россиян (32%) с наступлением 2000 года связано ощущение праздничного, незаурядного события. У остальных взгляд на это событие - будничный, безразличный или даже тревожный.</w:t>
      </w:r>
    </w:p>
    <w:p w:rsidR="002D08FD" w:rsidRDefault="002D08FD">
      <w:pPr>
        <w:pStyle w:val="a8"/>
        <w:rPr>
          <w:spacing w:val="6"/>
        </w:rPr>
      </w:pPr>
      <w:r>
        <w:rPr>
          <w:spacing w:val="6"/>
        </w:rPr>
        <w:t>Мрачные, тревожные настроения в своих ответах чаще других выражают те, кто старше 40 лет (28%), радостные ожидания - молодые (26% в группе респондентов моложе 30 лет). Доля равнодушных к этой дате примерно одинакова во всех социально-демографических группах и колеблется в пределах 33-39%.</w:t>
      </w:r>
    </w:p>
    <w:p w:rsidR="002D08FD" w:rsidRDefault="002D08FD">
      <w:pPr>
        <w:pStyle w:val="a8"/>
        <w:rPr>
          <w:spacing w:val="6"/>
        </w:rPr>
      </w:pPr>
      <w:r>
        <w:rPr>
          <w:spacing w:val="6"/>
        </w:rPr>
        <w:t>Респондентов также спрашивали: "</w:t>
      </w:r>
      <w:r>
        <w:rPr>
          <w:caps/>
          <w:spacing w:val="6"/>
        </w:rPr>
        <w:t xml:space="preserve">как вам кажется, </w:t>
      </w:r>
      <w:r>
        <w:rPr>
          <w:spacing w:val="6"/>
        </w:rPr>
        <w:t>БУДЕТ ИЛИ НЕ БУДЕТ НАСТУПЛЕНИЕ 2000 ГОДА СОПРОВОЖДАТЬСЯ КАКИМИ-ТО ОСОБЫМИ, НЕОБЫЧНЫМИ ЯВЛЕНИЯМИ?". По этому вопросу мнения разделились почти поровну: 40% не ожидают чего-то необычного в связи с наступлением 2000 года, а 36% вполне допускают такую возможность. В этой последней группе чаще встречаются те, кто воспринимает 2000 год как тревожную и мрачную дату (33%), чем те, для кого она радостная и праздничная (25%).</w:t>
      </w:r>
    </w:p>
    <w:p w:rsidR="002D08FD" w:rsidRDefault="002D08FD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17 октября 1998 года. 1500 респондентов.</w:t>
      </w:r>
    </w:p>
    <w:p w:rsidR="002D08FD" w:rsidRDefault="002D08FD">
      <w:pPr>
        <w:pStyle w:val="a0"/>
        <w:rPr>
          <w:spacing w:val="-4"/>
        </w:rPr>
      </w:pPr>
    </w:p>
    <w:sectPr w:rsidR="002D08FD" w:rsidSect="002D08FD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FD" w:rsidRDefault="002D08FD">
      <w:r>
        <w:separator/>
      </w:r>
    </w:p>
  </w:endnote>
  <w:endnote w:type="continuationSeparator" w:id="1">
    <w:p w:rsidR="002D08FD" w:rsidRDefault="002D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FD" w:rsidRDefault="002D08FD">
      <w:r>
        <w:separator/>
      </w:r>
    </w:p>
  </w:footnote>
  <w:footnote w:type="continuationSeparator" w:id="1">
    <w:p w:rsidR="002D08FD" w:rsidRDefault="002D0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FD" w:rsidRDefault="002D08FD">
    <w:pPr>
      <w:pStyle w:val="Header"/>
      <w:shd w:val="pct10" w:color="auto" w:fill="auto"/>
    </w:pPr>
    <w:r>
      <w:t>ФОМ-Инфо</w:t>
    </w:r>
    <w:r>
      <w:tab/>
      <w:t>Выпуск 46</w:t>
    </w:r>
    <w:r>
      <w:tab/>
      <w:t>19 ноября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FD" w:rsidRDefault="002D08FD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D230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5D8"/>
    <w:rsid w:val="002D08FD"/>
    <w:rsid w:val="00D5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7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7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179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79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793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  <w:pPr>
      <w:spacing w:line="400" w:lineRule="exact"/>
    </w:pPr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10">
    <w:name w:val="Шап1"/>
    <w:basedOn w:val="Normal"/>
    <w:next w:val="1"/>
    <w:uiPriority w:val="99"/>
    <w:pPr>
      <w:spacing w:line="240" w:lineRule="auto"/>
      <w:ind w:left="993" w:right="1700" w:firstLine="1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1401</Words>
  <Characters>7991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1998-11-17T14:19:00Z</cp:lastPrinted>
  <dcterms:created xsi:type="dcterms:W3CDTF">2017-08-01T17:41:00Z</dcterms:created>
  <dcterms:modified xsi:type="dcterms:W3CDTF">2017-08-01T17:41:00Z</dcterms:modified>
</cp:coreProperties>
</file>