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D40" w:rsidRDefault="00DF6D40">
      <w:pPr>
        <w:framePr w:w="5900" w:h="426" w:hSpace="180" w:wrap="auto" w:vAnchor="text" w:hAnchor="page" w:x="3316" w:y="268"/>
        <w:spacing w:before="0"/>
        <w:ind w:firstLine="0"/>
        <w:jc w:val="left"/>
        <w:rPr>
          <w:b/>
          <w:bCs/>
          <w:color w:val="0000FF"/>
          <w:spacing w:val="20"/>
        </w:rPr>
      </w:pPr>
      <w:r>
        <w:rPr>
          <w:noProof/>
        </w:rPr>
        <w:pict>
          <v:line id="_x0000_s1026" style="position:absolute;flip:x y;z-index:-251663872" from="281.15pt,10.7pt" to="388.6pt,11.25pt" o:allowincell="f" strokecolor="red" strokeweight="6pt">
            <v:stroke startarrowwidth="narrow" startarrowlength="short" endarrowwidth="narrow" endarrowlength="short"/>
          </v:line>
        </w:pict>
      </w:r>
      <w:r>
        <w:rPr>
          <w:b/>
          <w:bCs/>
          <w:color w:val="000000"/>
          <w:spacing w:val="20"/>
          <w:kern w:val="56"/>
          <w:sz w:val="32"/>
          <w:szCs w:val="32"/>
        </w:rPr>
        <w:t xml:space="preserve">  Фонд “Общественное мнение”</w:t>
      </w:r>
    </w:p>
    <w:p w:rsidR="00DF6D40" w:rsidRDefault="00DF6D40">
      <w:pPr>
        <w:ind w:firstLine="142"/>
      </w:pPr>
      <w:r>
        <w:rPr>
          <w:noProof/>
        </w:rPr>
        <w:pict>
          <v:rect id="_x0000_s1027" style="position:absolute;left:0;text-align:left;margin-left:123.25pt;margin-top:43.8pt;width:309.55pt;height:43.4pt;z-index:251662848" o:allowincell="f" fillcolor="#bfbfbf" stroked="f" strokeweight="1pt">
            <v:shadow on="t" color="black" offset="3.75pt,2.5pt"/>
            <v:textbox inset="1pt,1pt,1pt,1pt">
              <w:txbxContent>
                <w:p w:rsidR="00DF6D40" w:rsidRDefault="00DF6D40">
                  <w:pPr>
                    <w:spacing w:before="60" w:after="120"/>
                    <w:ind w:firstLine="0"/>
                    <w:jc w:val="center"/>
                    <w:rPr>
                      <w:rFonts w:ascii="AdverGothic Cyr" w:hAnsi="AdverGothic Cyr" w:cs="AdverGothic Cyr"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Серия “Социологические Сообщения”</w:t>
                  </w:r>
                </w:p>
              </w:txbxContent>
            </v:textbox>
          </v:rect>
        </w:pict>
      </w:r>
      <w:r>
        <w:rPr>
          <w:noProof/>
        </w:rPr>
        <w:pict>
          <v:line id="_x0000_s1028" style="position:absolute;left:0;text-align:left;flip:y;z-index:251658752" from=".85pt,7.95pt" to="50.1pt,8.1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rect id="_x0000_s1029" style="position:absolute;left:0;text-align:left;margin-left:425.65pt;margin-top:-6.55pt;width:79.25pt;height:72.05pt;z-index:251661824" o:allowincell="f" fillcolor="#bfbfbf" stroked="f" strokeweight="1pt">
            <v:shadow on="t" color="black" offset="3.75pt,2.5pt"/>
            <v:textbox inset="1pt,1pt,1pt,1pt">
              <w:txbxContent>
                <w:p w:rsidR="00DF6D40" w:rsidRDefault="00DF6D40">
                  <w:pPr>
                    <w:spacing w:after="20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 xml:space="preserve">9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декабря</w:t>
                  </w:r>
                </w:p>
                <w:p w:rsidR="00DF6D40" w:rsidRDefault="00DF6D40">
                  <w:pPr>
                    <w:spacing w:before="40" w:after="20"/>
                    <w:ind w:firstLine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1998</w:t>
                  </w:r>
                </w:p>
                <w:p w:rsidR="00DF6D40" w:rsidRDefault="00DF6D40">
                  <w:pPr>
                    <w:spacing w:before="40"/>
                    <w:ind w:firstLine="0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№ 1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25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(4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40)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0" type="#_x0000_t19" style="position:absolute;left:0;text-align:left;margin-left:58.45pt;margin-top:35.15pt;width:21.65pt;height:7.25pt;flip:x;z-index:251660800" o:allowincell="f" filled="t" fillcolor="#bfbfbf" stroked="f" strokecolor="blue">
            <v:fill color2="fuchsia"/>
          </v:shape>
        </w:pict>
      </w:r>
      <w:r>
        <w:rPr>
          <w:noProof/>
        </w:rPr>
        <w:pict>
          <v:shape id="_x0000_s1031" type="#_x0000_t19" style="position:absolute;left:0;text-align:left;margin-left:22.45pt;margin-top:36.65pt;width:72.05pt;height:23.75pt;flip:x;z-index:251659776" o:allowincell="f" filled="t" fillcolor="#bfbfbf" stroked="f" strokecolor="blue">
            <v:fill color2="fuchsia"/>
          </v:shape>
        </w:pict>
      </w:r>
      <w:r>
        <w:rPr>
          <w:noProof/>
        </w:rPr>
        <w:pict>
          <v:oval id="_x0000_s1032" style="position:absolute;left:0;text-align:left;margin-left:-6.35pt;margin-top:22.25pt;width:381.65pt;height:136.95pt;z-index:-251664896" o:allowincell="f" fillcolor="#bfbfbf" stroked="f" strokecolor="white" strokeweight="6pt"/>
        </w:pict>
      </w:r>
      <w:r>
        <w:rPr>
          <w:noProof/>
        </w:rPr>
        <w:pict>
          <v:line id="_x0000_s1033" style="position:absolute;left:0;text-align:left;z-index:251656704" from="61.45pt,7.85pt" to="411.4pt,8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4" style="position:absolute;left:0;text-align:left;flip:x;z-index:251657728" from="80.05pt,25.25pt" to="113.7pt,25.55pt" o:allowincell="f" strokecolor="red" strokeweight="6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5" style="position:absolute;left:0;text-align:left;flip:x;z-index:251655680" from="-20.75pt,25.5pt" to=".9pt,25.55pt" o:allowincell="f" strokecolor="red" strokeweight="6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6" style="position:absolute;left:0;text-align:left;z-index:251654656" from="431.3pt,29.55pt" to="497.8pt,29.6pt" o:allowincell="f" stroked="f" strokecolor="red" strokeweight="2pt">
            <v:stroke startarrowwidth="narrow" startarrowlength="short" endarrowwidth="narrow" endarrowlength="short"/>
            <v:shadow on="t" color="black" offset="3.75pt,2.5pt"/>
          </v:line>
        </w:pict>
      </w:r>
      <w:r>
        <w:rPr>
          <w:color w:val="0000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6pt;height:45.6pt" o:borderbottomcolor="white" o:borderrightcolor="white">
            <v:imagedata r:id="rId7" o:title=""/>
            <w10:borderbottom type="single" width="6"/>
            <w10:borderright type="single" width="6"/>
          </v:shape>
        </w:pict>
      </w:r>
      <w:r>
        <w:rPr>
          <w:color w:val="0000FF"/>
        </w:rPr>
        <w:t xml:space="preserve">   </w:t>
      </w:r>
    </w:p>
    <w:p w:rsidR="00DF6D40" w:rsidRDefault="00DF6D40">
      <w:pPr>
        <w:sectPr w:rsidR="00DF6D40">
          <w:footerReference w:type="default" r:id="rId8"/>
          <w:footerReference w:type="first" r:id="rId9"/>
          <w:type w:val="continuous"/>
          <w:pgSz w:w="11907" w:h="16840" w:code="9"/>
          <w:pgMar w:top="851" w:right="851" w:bottom="1134" w:left="1134" w:header="567" w:footer="939" w:gutter="0"/>
          <w:cols w:num="2" w:sep="1" w:space="720"/>
          <w:titlePg/>
        </w:sectPr>
      </w:pPr>
    </w:p>
    <w:p w:rsidR="00DF6D40" w:rsidRDefault="00DF6D40">
      <w:r>
        <w:rPr>
          <w:noProof/>
        </w:rPr>
        <w:pict>
          <v:line id="_x0000_s1037" style="position:absolute;left:0;text-align:left;flip:y;z-index:251653632" from="8.05pt,5.65pt" to="506.7pt,117.9pt" o:allowincell="f" strokecolor="red" strokeweight="6pt">
            <v:stroke startarrowwidth="narrow" startarrowlength="short" endarrowwidth="narrow" endarrowlength="short"/>
          </v:line>
        </w:pict>
      </w:r>
      <w:r>
        <w:rPr>
          <w:noProof/>
        </w:rPr>
        <w:pict>
          <v:roundrect id="_x0000_s1038" style="position:absolute;left:0;text-align:left;margin-left:22pt;margin-top:17.2pt;width:288.5pt;height:75.15pt;z-index:251663872" arcsize="10923f" o:allowincell="f" fillcolor="blue" strokecolor="white" strokeweight="1pt">
            <v:shadow on="t" color="black" offset="3.75pt,2.5pt"/>
            <v:textbox inset="1pt,1pt,1pt,1pt">
              <w:txbxContent>
                <w:p w:rsidR="00DF6D40" w:rsidRDefault="00DF6D40">
                  <w:pPr>
                    <w:spacing w:before="180" w:after="20"/>
                    <w:ind w:firstLine="0"/>
                    <w:jc w:val="center"/>
                    <w:rPr>
                      <w:b/>
                      <w:bCs/>
                      <w:color w:val="FFFFFF"/>
                      <w:sz w:val="34"/>
                      <w:szCs w:val="3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32"/>
                      <w:szCs w:val="32"/>
                    </w:rPr>
                    <w:t xml:space="preserve">Региональная информационная элита о кризисе системы 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32"/>
                      <w:szCs w:val="32"/>
                      <w:lang w:val="en-US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32"/>
                      <w:szCs w:val="32"/>
                    </w:rPr>
                    <w:t>образования</w:t>
                  </w:r>
                  <w:r>
                    <w:rPr>
                      <w:b/>
                      <w:bCs/>
                      <w:color w:val="FFFFFF"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roundrect>
        </w:pict>
      </w:r>
    </w:p>
    <w:p w:rsidR="00DF6D40" w:rsidRDefault="00DF6D40"/>
    <w:p w:rsidR="00DF6D40" w:rsidRDefault="00DF6D40"/>
    <w:p w:rsidR="00DF6D40" w:rsidRDefault="00DF6D40"/>
    <w:p w:rsidR="00DF6D40" w:rsidRDefault="00DF6D40">
      <w:pPr>
        <w:rPr>
          <w:sz w:val="8"/>
          <w:szCs w:val="8"/>
          <w:lang w:val="en-US"/>
        </w:rPr>
      </w:pPr>
    </w:p>
    <w:p w:rsidR="00DF6D40" w:rsidRDefault="00DF6D40">
      <w:pPr>
        <w:rPr>
          <w:sz w:val="8"/>
          <w:szCs w:val="8"/>
          <w:lang w:val="en-US"/>
        </w:rPr>
      </w:pPr>
    </w:p>
    <w:p w:rsidR="00DF6D40" w:rsidRDefault="00DF6D40">
      <w:pPr>
        <w:rPr>
          <w:sz w:val="8"/>
          <w:szCs w:val="8"/>
        </w:rPr>
        <w:sectPr w:rsidR="00DF6D40">
          <w:type w:val="continuous"/>
          <w:pgSz w:w="11907" w:h="16840" w:code="9"/>
          <w:pgMar w:top="851" w:right="851" w:bottom="1134" w:left="1134" w:header="567" w:footer="939" w:gutter="0"/>
          <w:cols w:sep="1" w:space="720"/>
          <w:titlePg/>
        </w:sectPr>
      </w:pPr>
    </w:p>
    <w:p w:rsidR="00DF6D40" w:rsidRDefault="00DF6D40">
      <w:pPr>
        <w:jc w:val="center"/>
        <w:rPr>
          <w:b/>
          <w:bCs/>
          <w:sz w:val="6"/>
          <w:szCs w:val="6"/>
        </w:rPr>
      </w:pPr>
    </w:p>
    <w:p w:rsidR="00DF6D40" w:rsidRDefault="00DF6D40">
      <w:pPr>
        <w:keepNext/>
        <w:framePr w:dropCap="drop" w:lines="2" w:wrap="auto" w:vAnchor="text" w:hAnchor="text"/>
        <w:spacing w:line="662" w:lineRule="exact"/>
        <w:ind w:firstLine="0"/>
        <w:rPr>
          <w:rFonts w:ascii="Arial" w:hAnsi="Arial" w:cs="Arial"/>
          <w:b/>
          <w:bCs/>
          <w:color w:val="0000FF"/>
          <w:position w:val="-6"/>
          <w:sz w:val="76"/>
          <w:szCs w:val="76"/>
        </w:rPr>
      </w:pPr>
      <w:r>
        <w:rPr>
          <w:rFonts w:ascii="Arial" w:hAnsi="Arial" w:cs="Arial"/>
          <w:b/>
          <w:bCs/>
          <w:color w:val="0000FF"/>
          <w:position w:val="-6"/>
          <w:sz w:val="76"/>
          <w:szCs w:val="76"/>
        </w:rPr>
        <w:t>И</w:t>
      </w:r>
    </w:p>
    <w:p w:rsidR="00DF6D40" w:rsidRDefault="00DF6D40">
      <w:pPr>
        <w:ind w:firstLine="0"/>
        <w:rPr>
          <w:b/>
          <w:bCs/>
          <w:color w:val="0000FF"/>
        </w:rPr>
      </w:pPr>
      <w:r>
        <w:rPr>
          <w:rFonts w:ascii="Arial" w:hAnsi="Arial" w:cs="Arial"/>
          <w:b/>
          <w:bCs/>
          <w:color w:val="0000FF"/>
          <w:sz w:val="28"/>
          <w:szCs w:val="28"/>
        </w:rPr>
        <w:t>сточник данных</w:t>
      </w:r>
    </w:p>
    <w:p w:rsidR="00DF6D40" w:rsidRDefault="00DF6D40">
      <w:pPr>
        <w:spacing w:before="4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Стандартизованные телефонные интервью, проведенные с </w:t>
      </w:r>
      <w:r>
        <w:rPr>
          <w:b/>
          <w:bCs/>
          <w:sz w:val="24"/>
          <w:szCs w:val="24"/>
        </w:rPr>
        <w:t>15</w:t>
      </w:r>
      <w:r>
        <w:rPr>
          <w:sz w:val="24"/>
          <w:szCs w:val="24"/>
        </w:rPr>
        <w:t xml:space="preserve"> по </w:t>
      </w:r>
      <w:r>
        <w:rPr>
          <w:b/>
          <w:bCs/>
          <w:sz w:val="24"/>
          <w:szCs w:val="24"/>
        </w:rPr>
        <w:t>25</w:t>
      </w:r>
      <w:r>
        <w:rPr>
          <w:sz w:val="24"/>
          <w:szCs w:val="24"/>
        </w:rPr>
        <w:t xml:space="preserve"> ноября 1998 г. в 9 регионах Европейской части РФ. В опросе приняли участие 90 экспертов – руководители и ведущие аналитики региональных СМИ.</w:t>
      </w:r>
    </w:p>
    <w:p w:rsidR="00DF6D40" w:rsidRDefault="00DF6D40">
      <w:pPr>
        <w:rPr>
          <w:i/>
          <w:iCs/>
          <w:sz w:val="24"/>
          <w:szCs w:val="24"/>
        </w:rPr>
      </w:pPr>
      <w:r>
        <w:rPr>
          <w:sz w:val="24"/>
          <w:szCs w:val="24"/>
        </w:rPr>
        <w:t>Эксперты в свободной форме отвечали на два вопроса:</w:t>
      </w:r>
    </w:p>
    <w:p w:rsidR="00DF6D40" w:rsidRDefault="00DF6D40" w:rsidP="006B56D1">
      <w:pPr>
        <w:numPr>
          <w:ilvl w:val="0"/>
          <w:numId w:val="1"/>
        </w:numPr>
        <w:rPr>
          <w:i/>
          <w:iCs/>
          <w:color w:val="800000"/>
          <w:sz w:val="24"/>
          <w:szCs w:val="24"/>
        </w:rPr>
      </w:pPr>
      <w:r>
        <w:rPr>
          <w:i/>
          <w:iCs/>
          <w:color w:val="800000"/>
          <w:sz w:val="24"/>
          <w:szCs w:val="24"/>
        </w:rPr>
        <w:t xml:space="preserve"> Как Вы можете оценить положение дел с образованием в вашем регионе? </w:t>
      </w:r>
    </w:p>
    <w:p w:rsidR="00DF6D40" w:rsidRDefault="00DF6D40" w:rsidP="006B56D1">
      <w:pPr>
        <w:numPr>
          <w:ilvl w:val="0"/>
          <w:numId w:val="1"/>
        </w:numPr>
        <w:rPr>
          <w:i/>
          <w:iCs/>
          <w:color w:val="800000"/>
          <w:sz w:val="24"/>
          <w:szCs w:val="24"/>
        </w:rPr>
      </w:pPr>
      <w:r>
        <w:rPr>
          <w:i/>
          <w:iCs/>
          <w:color w:val="800000"/>
          <w:sz w:val="24"/>
          <w:szCs w:val="24"/>
        </w:rPr>
        <w:t xml:space="preserve"> Видите ли Вы в этом отношении какие-то обнадеживающие моменты в вашем регионе на фоне общего кризиса образовательной системы?</w:t>
      </w:r>
    </w:p>
    <w:p w:rsidR="00DF6D40" w:rsidRDefault="00DF6D40">
      <w:pPr>
        <w:rPr>
          <w:i/>
          <w:iCs/>
        </w:rPr>
      </w:pPr>
    </w:p>
    <w:p w:rsidR="00DF6D40" w:rsidRDefault="00DF6D40">
      <w:pPr>
        <w:keepNext/>
        <w:framePr w:dropCap="drop" w:lines="2" w:wrap="auto" w:vAnchor="text" w:hAnchor="text"/>
        <w:spacing w:line="902" w:lineRule="exact"/>
        <w:ind w:firstLine="0"/>
        <w:rPr>
          <w:rFonts w:ascii="Arial" w:hAnsi="Arial" w:cs="Arial"/>
          <w:b/>
          <w:bCs/>
          <w:color w:val="0000FF"/>
          <w:sz w:val="93"/>
          <w:szCs w:val="93"/>
        </w:rPr>
      </w:pPr>
      <w:r>
        <w:rPr>
          <w:rFonts w:ascii="Arial" w:hAnsi="Arial" w:cs="Arial"/>
          <w:b/>
          <w:bCs/>
          <w:color w:val="0000FF"/>
          <w:sz w:val="93"/>
          <w:szCs w:val="93"/>
        </w:rPr>
        <w:t>П</w:t>
      </w:r>
    </w:p>
    <w:p w:rsidR="00DF6D40" w:rsidRDefault="00DF6D40">
      <w:pPr>
        <w:spacing w:after="120"/>
        <w:ind w:firstLine="0"/>
        <w:rPr>
          <w:b/>
          <w:bCs/>
          <w:color w:val="0000FF"/>
          <w:sz w:val="28"/>
          <w:szCs w:val="28"/>
        </w:rPr>
      </w:pPr>
      <w:r>
        <w:rPr>
          <w:rFonts w:ascii="Arial" w:hAnsi="Arial" w:cs="Arial"/>
          <w:b/>
          <w:bCs/>
          <w:color w:val="0000FF"/>
          <w:sz w:val="28"/>
          <w:szCs w:val="28"/>
        </w:rPr>
        <w:t>ринципы анализа</w:t>
      </w:r>
    </w:p>
    <w:p w:rsidR="00DF6D40" w:rsidRDefault="00DF6D40">
      <w:pPr>
        <w:spacing w:before="40"/>
        <w:ind w:firstLine="0"/>
      </w:pPr>
      <w:r>
        <w:rPr>
          <w:lang w:val="en-US"/>
        </w:rPr>
        <w:t>В</w:t>
      </w:r>
      <w:r>
        <w:t xml:space="preserve"> качестве исходного элемента наблюдения было взято </w:t>
      </w:r>
      <w:r>
        <w:rPr>
          <w:i/>
          <w:iCs/>
          <w:color w:val="800000"/>
        </w:rPr>
        <w:t>высказывание</w:t>
      </w:r>
      <w:r>
        <w:t xml:space="preserve"> – ответ одного эксперта на один вопрос исследования. За единицу анализа принято </w:t>
      </w:r>
      <w:r>
        <w:rPr>
          <w:i/>
          <w:iCs/>
          <w:color w:val="800000"/>
        </w:rPr>
        <w:t>суждение</w:t>
      </w:r>
      <w:r>
        <w:t xml:space="preserve"> – часть высказывания, логически завершенная и самостоятельная по мысли.</w:t>
      </w:r>
    </w:p>
    <w:p w:rsidR="00DF6D40" w:rsidRDefault="00DF6D40">
      <w:r>
        <w:t>Частотный анализ проводился в два этапа:</w:t>
      </w:r>
    </w:p>
    <w:p w:rsidR="00DF6D40" w:rsidRDefault="00DF6D40" w:rsidP="006B56D1">
      <w:pPr>
        <w:numPr>
          <w:ilvl w:val="0"/>
          <w:numId w:val="2"/>
        </w:numPr>
        <w:ind w:left="0" w:firstLine="425"/>
      </w:pPr>
      <w:r>
        <w:t xml:space="preserve">при </w:t>
      </w:r>
      <w:r>
        <w:rPr>
          <w:i/>
          <w:iCs/>
          <w:color w:val="800000"/>
        </w:rPr>
        <w:t>позиционном</w:t>
      </w:r>
      <w:r>
        <w:t xml:space="preserve"> анализе ответов на первый вопрос суждения экспертов рассматривались по основанию, заданному первым вопросом;</w:t>
      </w:r>
    </w:p>
    <w:p w:rsidR="00DF6D40" w:rsidRDefault="00DF6D40" w:rsidP="006B56D1">
      <w:pPr>
        <w:numPr>
          <w:ilvl w:val="0"/>
          <w:numId w:val="2"/>
        </w:numPr>
        <w:ind w:left="0" w:firstLine="425"/>
      </w:pPr>
      <w:r>
        <w:t xml:space="preserve">при </w:t>
      </w:r>
      <w:r>
        <w:rPr>
          <w:i/>
          <w:iCs/>
          <w:color w:val="800000"/>
        </w:rPr>
        <w:t>тематическом</w:t>
      </w:r>
      <w:r>
        <w:t xml:space="preserve"> анализе сопоставлялся весь спектр высказываний по второму вопросу на основании смыслового сходства содержащихся в них суждений.</w:t>
      </w:r>
    </w:p>
    <w:p w:rsidR="00DF6D40" w:rsidRDefault="00DF6D40" w:rsidP="006B56D1">
      <w:pPr>
        <w:numPr>
          <w:ilvl w:val="12"/>
          <w:numId w:val="0"/>
        </w:numPr>
        <w:ind w:firstLine="425"/>
        <w:rPr>
          <w:i/>
          <w:iCs/>
          <w:color w:val="008000"/>
        </w:rPr>
      </w:pPr>
      <w:r>
        <w:rPr>
          <w:i/>
          <w:iCs/>
          <w:color w:val="008000"/>
        </w:rPr>
        <w:t>Результаты приведены в процентах от числа суждений – соответственно позиционных или тематических. Для одиночных суждений проценты не приводятся.</w:t>
      </w:r>
    </w:p>
    <w:p w:rsidR="00DF6D40" w:rsidRDefault="00DF6D40">
      <w:pPr>
        <w:spacing w:before="0"/>
        <w:rPr>
          <w:sz w:val="16"/>
          <w:szCs w:val="16"/>
        </w:rPr>
      </w:pPr>
    </w:p>
    <w:p w:rsidR="00DF6D40" w:rsidRDefault="00DF6D40">
      <w:pPr>
        <w:spacing w:before="0"/>
        <w:rPr>
          <w:sz w:val="16"/>
          <w:szCs w:val="16"/>
        </w:rPr>
      </w:pPr>
    </w:p>
    <w:p w:rsidR="00DF6D40" w:rsidRDefault="00DF6D40">
      <w:pPr>
        <w:keepNext/>
        <w:framePr w:dropCap="drop" w:lines="2" w:wrap="auto" w:vAnchor="text" w:hAnchor="text"/>
        <w:spacing w:line="902" w:lineRule="exact"/>
        <w:ind w:firstLine="0"/>
        <w:rPr>
          <w:rFonts w:ascii="Arial" w:hAnsi="Arial" w:cs="Arial"/>
          <w:b/>
          <w:bCs/>
          <w:color w:val="0000FF"/>
          <w:sz w:val="93"/>
          <w:szCs w:val="93"/>
        </w:rPr>
      </w:pPr>
      <w:r>
        <w:rPr>
          <w:rFonts w:ascii="Arial" w:hAnsi="Arial" w:cs="Arial"/>
          <w:b/>
          <w:bCs/>
          <w:color w:val="0000FF"/>
          <w:sz w:val="93"/>
          <w:szCs w:val="93"/>
        </w:rPr>
        <w:t>Р</w:t>
      </w:r>
    </w:p>
    <w:p w:rsidR="00DF6D40" w:rsidRDefault="00DF6D40">
      <w:pPr>
        <w:spacing w:after="120"/>
        <w:ind w:firstLine="0"/>
        <w:rPr>
          <w:b/>
          <w:bCs/>
          <w:color w:val="0000FF"/>
          <w:sz w:val="28"/>
          <w:szCs w:val="28"/>
        </w:rPr>
      </w:pPr>
      <w:r>
        <w:rPr>
          <w:rFonts w:ascii="Arial" w:hAnsi="Arial" w:cs="Arial"/>
          <w:b/>
          <w:bCs/>
          <w:color w:val="0000FF"/>
          <w:sz w:val="28"/>
          <w:szCs w:val="28"/>
        </w:rPr>
        <w:t>езультаты</w:t>
      </w:r>
    </w:p>
    <w:p w:rsidR="00DF6D40" w:rsidRDefault="00DF6D40">
      <w:pPr>
        <w:pStyle w:val="Heading2"/>
        <w:spacing w:before="100" w:after="100"/>
      </w:pPr>
      <w:r>
        <w:rPr>
          <w:lang w:val="en-US"/>
        </w:rPr>
        <w:t>I</w:t>
      </w:r>
      <w:r>
        <w:t>. Позиционный анализ</w:t>
      </w:r>
    </w:p>
    <w:p w:rsidR="00DF6D40" w:rsidRDefault="00DF6D40">
      <w:r>
        <w:rPr>
          <w:b/>
          <w:bCs/>
        </w:rPr>
        <w:t>1.</w:t>
      </w:r>
      <w:r>
        <w:t xml:space="preserve"> В ходе анализа ответов на </w:t>
      </w:r>
      <w:r>
        <w:rPr>
          <w:i/>
          <w:iCs/>
          <w:color w:val="800000"/>
        </w:rPr>
        <w:t>первый вопрос</w:t>
      </w:r>
      <w:r>
        <w:t xml:space="preserve"> было отобрано </w:t>
      </w:r>
      <w:r>
        <w:rPr>
          <w:b/>
          <w:bCs/>
        </w:rPr>
        <w:t>90 суждений</w:t>
      </w:r>
      <w:r>
        <w:t>. Мнения экспертов о ситуации с образованием в их регионах разделились следующим образом:</w:t>
      </w:r>
    </w:p>
    <w:p w:rsidR="00DF6D40" w:rsidRDefault="00DF6D40" w:rsidP="006B56D1">
      <w:pPr>
        <w:numPr>
          <w:ilvl w:val="0"/>
          <w:numId w:val="3"/>
        </w:numPr>
        <w:ind w:left="0" w:firstLine="426"/>
      </w:pPr>
      <w:r>
        <w:t xml:space="preserve">Положение дел </w:t>
      </w:r>
      <w:r>
        <w:rPr>
          <w:i/>
          <w:iCs/>
          <w:color w:val="800000"/>
        </w:rPr>
        <w:t>бесперспективное,</w:t>
      </w:r>
      <w:r>
        <w:t xml:space="preserve"> </w:t>
      </w:r>
      <w:r>
        <w:rPr>
          <w:i/>
          <w:iCs/>
          <w:color w:val="800000"/>
        </w:rPr>
        <w:t xml:space="preserve">катастрофическое </w:t>
      </w:r>
      <w:r>
        <w:t>(20%).</w:t>
      </w:r>
    </w:p>
    <w:p w:rsidR="00DF6D40" w:rsidRDefault="00DF6D40" w:rsidP="006B56D1">
      <w:pPr>
        <w:numPr>
          <w:ilvl w:val="0"/>
          <w:numId w:val="3"/>
        </w:numPr>
        <w:ind w:left="0" w:firstLine="426"/>
      </w:pPr>
      <w:r>
        <w:t xml:space="preserve">Ситуация </w:t>
      </w:r>
      <w:r>
        <w:rPr>
          <w:i/>
          <w:iCs/>
          <w:color w:val="800000"/>
        </w:rPr>
        <w:t>кризисная, сложная</w:t>
      </w:r>
      <w:r>
        <w:t xml:space="preserve"> (45%).</w:t>
      </w:r>
    </w:p>
    <w:p w:rsidR="00DF6D40" w:rsidRDefault="00DF6D40" w:rsidP="006B56D1">
      <w:pPr>
        <w:numPr>
          <w:ilvl w:val="0"/>
          <w:numId w:val="3"/>
        </w:numPr>
        <w:ind w:left="0" w:firstLine="426"/>
      </w:pPr>
      <w:r>
        <w:rPr>
          <w:i/>
          <w:iCs/>
          <w:color w:val="800000"/>
        </w:rPr>
        <w:t>Есть и плюсы, и минусы</w:t>
      </w:r>
      <w:r>
        <w:t xml:space="preserve"> (25%).</w:t>
      </w:r>
    </w:p>
    <w:p w:rsidR="00DF6D40" w:rsidRDefault="00DF6D40" w:rsidP="006B56D1">
      <w:pPr>
        <w:numPr>
          <w:ilvl w:val="0"/>
          <w:numId w:val="3"/>
        </w:numPr>
        <w:ind w:left="0" w:firstLine="426"/>
      </w:pPr>
      <w:r>
        <w:t>Ситуация в целом</w:t>
      </w:r>
      <w:r>
        <w:rPr>
          <w:i/>
          <w:iCs/>
          <w:color w:val="800000"/>
        </w:rPr>
        <w:t xml:space="preserve"> положительная</w:t>
      </w:r>
      <w:r>
        <w:t xml:space="preserve"> (11%).</w:t>
      </w:r>
    </w:p>
    <w:p w:rsidR="00DF6D40" w:rsidRDefault="00DF6D40">
      <w:pPr>
        <w:pStyle w:val="Heading2"/>
      </w:pPr>
      <w:r>
        <w:rPr>
          <w:lang w:val="en-US"/>
        </w:rPr>
        <w:t>II</w:t>
      </w:r>
      <w:r>
        <w:t>. Тематический анализ</w:t>
      </w:r>
    </w:p>
    <w:p w:rsidR="00DF6D40" w:rsidRDefault="00DF6D40">
      <w:r>
        <w:t>При анализе ответов на</w:t>
      </w:r>
      <w:r>
        <w:rPr>
          <w:i/>
          <w:iCs/>
          <w:color w:val="800000"/>
        </w:rPr>
        <w:t xml:space="preserve"> второй вопрос</w:t>
      </w:r>
      <w:r>
        <w:t xml:space="preserve"> были выделены </w:t>
      </w:r>
      <w:r>
        <w:rPr>
          <w:b/>
          <w:bCs/>
        </w:rPr>
        <w:t>187 суждений</w:t>
      </w:r>
      <w:r>
        <w:t>, которые были разбиты на две группы:</w:t>
      </w:r>
    </w:p>
    <w:p w:rsidR="00DF6D40" w:rsidRDefault="00DF6D40" w:rsidP="006B56D1">
      <w:pPr>
        <w:numPr>
          <w:ilvl w:val="0"/>
          <w:numId w:val="4"/>
        </w:numPr>
        <w:ind w:left="0"/>
      </w:pPr>
      <w:r>
        <w:t xml:space="preserve">обнадеживающие моменты в ситуации с образованием </w:t>
      </w:r>
      <w:r>
        <w:rPr>
          <w:i/>
          <w:iCs/>
          <w:color w:val="800000"/>
        </w:rPr>
        <w:t>есть</w:t>
      </w:r>
      <w:r>
        <w:t xml:space="preserve"> (</w:t>
      </w:r>
      <w:r>
        <w:rPr>
          <w:b/>
          <w:bCs/>
        </w:rPr>
        <w:t>75 суждений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>– 40%</w:t>
      </w:r>
      <w:r>
        <w:t>);</w:t>
      </w:r>
    </w:p>
    <w:p w:rsidR="00DF6D40" w:rsidRDefault="00DF6D40" w:rsidP="006B56D1">
      <w:pPr>
        <w:numPr>
          <w:ilvl w:val="0"/>
          <w:numId w:val="4"/>
        </w:numPr>
        <w:ind w:left="0"/>
      </w:pPr>
      <w:r>
        <w:t xml:space="preserve">таких моментов </w:t>
      </w:r>
      <w:r>
        <w:rPr>
          <w:i/>
          <w:iCs/>
          <w:color w:val="800000"/>
        </w:rPr>
        <w:t>нет</w:t>
      </w:r>
      <w:r>
        <w:t xml:space="preserve"> (</w:t>
      </w:r>
      <w:r>
        <w:rPr>
          <w:b/>
          <w:bCs/>
        </w:rPr>
        <w:t>112 суждений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>– 60%</w:t>
      </w:r>
      <w:r>
        <w:t>).</w:t>
      </w:r>
    </w:p>
    <w:p w:rsidR="00DF6D40" w:rsidRDefault="00DF6D40">
      <w:r>
        <w:rPr>
          <w:b/>
          <w:bCs/>
          <w:color w:val="800000"/>
        </w:rPr>
        <w:t>1.</w:t>
      </w:r>
      <w:r>
        <w:t xml:space="preserve"> В </w:t>
      </w:r>
      <w:r>
        <w:rPr>
          <w:color w:val="800000"/>
        </w:rPr>
        <w:t>40%</w:t>
      </w:r>
      <w:r>
        <w:t xml:space="preserve"> суждений были названы следующие </w:t>
      </w:r>
      <w:r>
        <w:rPr>
          <w:i/>
          <w:iCs/>
          <w:color w:val="800000"/>
        </w:rPr>
        <w:t>позитивные тенденции</w:t>
      </w:r>
      <w:r>
        <w:t xml:space="preserve"> развития системы образования в регионах.</w:t>
      </w:r>
    </w:p>
    <w:p w:rsidR="00DF6D40" w:rsidRDefault="00DF6D40" w:rsidP="006B56D1">
      <w:pPr>
        <w:numPr>
          <w:ilvl w:val="0"/>
          <w:numId w:val="5"/>
        </w:numPr>
        <w:ind w:left="0"/>
      </w:pPr>
      <w:r>
        <w:rPr>
          <w:i/>
          <w:iCs/>
          <w:color w:val="800000"/>
        </w:rPr>
        <w:t xml:space="preserve"> Сохраняется высокий уровень образования. </w:t>
      </w:r>
      <w:r>
        <w:t>Появляются молодые талантливые педагоги, приглашаются преподаватели из-за рубежа (11%).</w:t>
      </w:r>
    </w:p>
    <w:p w:rsidR="00DF6D40" w:rsidRDefault="00DF6D40" w:rsidP="006B56D1">
      <w:pPr>
        <w:numPr>
          <w:ilvl w:val="0"/>
          <w:numId w:val="5"/>
        </w:numPr>
        <w:ind w:left="0"/>
      </w:pPr>
      <w:r>
        <w:rPr>
          <w:i/>
          <w:iCs/>
          <w:color w:val="800000"/>
        </w:rPr>
        <w:t xml:space="preserve"> Появились новые преподавательские технологии, новые, альтернативные формы образования: гимназии, лицеи, частные школы</w:t>
      </w:r>
      <w:r>
        <w:t xml:space="preserve"> (11%).</w:t>
      </w:r>
    </w:p>
    <w:p w:rsidR="00DF6D40" w:rsidRDefault="00DF6D40" w:rsidP="006B56D1">
      <w:pPr>
        <w:numPr>
          <w:ilvl w:val="0"/>
          <w:numId w:val="5"/>
        </w:numPr>
        <w:spacing w:before="80"/>
        <w:ind w:left="0"/>
      </w:pPr>
      <w:r>
        <w:rPr>
          <w:i/>
          <w:iCs/>
          <w:color w:val="800000"/>
        </w:rPr>
        <w:t xml:space="preserve"> Система образования не развалилась благодаря труду преподавателей и учителей и определенной поддержке местных властей. </w:t>
      </w:r>
      <w:r>
        <w:t>Вузы не закрываются, появляются новые;  школам доступны бесплатные учебники; администрация финансирует бесплатные завтраки (8%).</w:t>
      </w:r>
    </w:p>
    <w:p w:rsidR="00DF6D40" w:rsidRDefault="00DF6D40" w:rsidP="006B56D1">
      <w:pPr>
        <w:numPr>
          <w:ilvl w:val="0"/>
          <w:numId w:val="5"/>
        </w:numPr>
        <w:ind w:left="0"/>
      </w:pPr>
      <w:r>
        <w:rPr>
          <w:i/>
          <w:iCs/>
          <w:color w:val="800000"/>
        </w:rPr>
        <w:t xml:space="preserve"> Сохраняется ценность хорошего образования. </w:t>
      </w:r>
      <w:r>
        <w:t>Значительный рост численности студентов свидетельствует о стремлении молодежи получить образование (6%).</w:t>
      </w:r>
    </w:p>
    <w:p w:rsidR="00DF6D40" w:rsidRDefault="00DF6D40" w:rsidP="006B56D1">
      <w:pPr>
        <w:numPr>
          <w:ilvl w:val="0"/>
          <w:numId w:val="5"/>
        </w:numPr>
        <w:ind w:left="0"/>
      </w:pPr>
      <w:r>
        <w:rPr>
          <w:lang w:val="en-US"/>
        </w:rPr>
        <w:t xml:space="preserve"> </w:t>
      </w:r>
      <w:r>
        <w:rPr>
          <w:i/>
          <w:iCs/>
          <w:color w:val="800000"/>
        </w:rPr>
        <w:t>Сохраняется высокий профессиональный уровень учителей в школах</w:t>
      </w:r>
      <w:r>
        <w:rPr>
          <w:lang w:val="en-US"/>
        </w:rPr>
        <w:t xml:space="preserve"> (3%)</w:t>
      </w:r>
      <w:r>
        <w:t>.</w:t>
      </w:r>
    </w:p>
    <w:p w:rsidR="00DF6D40" w:rsidRDefault="00DF6D40" w:rsidP="006B56D1">
      <w:pPr>
        <w:numPr>
          <w:ilvl w:val="0"/>
          <w:numId w:val="5"/>
        </w:numPr>
        <w:spacing w:before="80"/>
        <w:ind w:left="0"/>
      </w:pPr>
      <w:r>
        <w:rPr>
          <w:i/>
          <w:iCs/>
          <w:color w:val="800000"/>
        </w:rPr>
        <w:t xml:space="preserve"> Одиночные суждения</w:t>
      </w:r>
      <w:r>
        <w:t>: стало меньше идеологии; одаренные дети могут себя найти.</w:t>
      </w:r>
    </w:p>
    <w:p w:rsidR="00DF6D40" w:rsidRDefault="00DF6D40">
      <w:pPr>
        <w:spacing w:before="20"/>
        <w:ind w:firstLine="426"/>
      </w:pPr>
    </w:p>
    <w:p w:rsidR="00DF6D40" w:rsidRDefault="00DF6D40">
      <w:pPr>
        <w:spacing w:before="20"/>
        <w:ind w:firstLine="426"/>
      </w:pPr>
      <w:r>
        <w:rPr>
          <w:b/>
          <w:bCs/>
          <w:color w:val="800000"/>
        </w:rPr>
        <w:t>2.</w:t>
      </w:r>
      <w:r>
        <w:t xml:space="preserve"> В </w:t>
      </w:r>
      <w:r>
        <w:rPr>
          <w:color w:val="800000"/>
        </w:rPr>
        <w:t>60%</w:t>
      </w:r>
      <w:r>
        <w:t xml:space="preserve"> суждениях </w:t>
      </w:r>
      <w:r>
        <w:rPr>
          <w:i/>
          <w:iCs/>
          <w:color w:val="800000"/>
        </w:rPr>
        <w:t>присутствие обнадеживающих моментов</w:t>
      </w:r>
      <w:r>
        <w:t xml:space="preserve"> в положении с образованием </w:t>
      </w:r>
      <w:r>
        <w:rPr>
          <w:i/>
          <w:iCs/>
          <w:color w:val="800000"/>
        </w:rPr>
        <w:t>отрицалось</w:t>
      </w:r>
      <w:r>
        <w:t xml:space="preserve">. В этих суждениях были названы </w:t>
      </w:r>
      <w:r>
        <w:rPr>
          <w:i/>
          <w:iCs/>
          <w:color w:val="800000"/>
        </w:rPr>
        <w:t>причины</w:t>
      </w:r>
      <w:r>
        <w:rPr>
          <w:color w:val="800000"/>
        </w:rPr>
        <w:t xml:space="preserve"> </w:t>
      </w:r>
      <w:r>
        <w:rPr>
          <w:i/>
          <w:iCs/>
          <w:color w:val="800000"/>
        </w:rPr>
        <w:t>кризиса образовательной системы</w:t>
      </w:r>
      <w:r>
        <w:t xml:space="preserve"> в регионах.</w:t>
      </w:r>
    </w:p>
    <w:p w:rsidR="00DF6D40" w:rsidRDefault="00DF6D40" w:rsidP="006B56D1">
      <w:pPr>
        <w:numPr>
          <w:ilvl w:val="0"/>
          <w:numId w:val="5"/>
        </w:numPr>
        <w:ind w:left="0"/>
      </w:pPr>
      <w:r>
        <w:rPr>
          <w:i/>
          <w:iCs/>
          <w:color w:val="800000"/>
        </w:rPr>
        <w:t xml:space="preserve"> Долги по зарплате.</w:t>
      </w:r>
      <w:r>
        <w:t xml:space="preserve"> Это приводит к забастовкам учителей и преподавателей, к падению престижа профессии (20%).</w:t>
      </w:r>
    </w:p>
    <w:p w:rsidR="00DF6D40" w:rsidRDefault="00DF6D40" w:rsidP="006B56D1">
      <w:pPr>
        <w:numPr>
          <w:ilvl w:val="0"/>
          <w:numId w:val="5"/>
        </w:numPr>
        <w:ind w:left="0"/>
      </w:pPr>
      <w:r>
        <w:rPr>
          <w:i/>
          <w:iCs/>
          <w:color w:val="800000"/>
        </w:rPr>
        <w:t xml:space="preserve"> Бедственное финансовое положение учреждений средней и высшей школы.</w:t>
      </w:r>
      <w:r>
        <w:t xml:space="preserve"> Плохое материальное обеспечение не дает возможности проводить реформу образовательной системы, приобретать оборудование, учебники и т.д. (12%).</w:t>
      </w:r>
    </w:p>
    <w:p w:rsidR="00DF6D40" w:rsidRDefault="00DF6D40" w:rsidP="006B56D1">
      <w:pPr>
        <w:numPr>
          <w:ilvl w:val="0"/>
          <w:numId w:val="5"/>
        </w:numPr>
        <w:ind w:left="0"/>
      </w:pPr>
      <w:r>
        <w:rPr>
          <w:i/>
          <w:iCs/>
          <w:color w:val="800000"/>
        </w:rPr>
        <w:t xml:space="preserve"> Падение качества как среднего, так и высшего образования </w:t>
      </w:r>
      <w:r>
        <w:t>(11%).</w:t>
      </w:r>
    </w:p>
    <w:p w:rsidR="00DF6D40" w:rsidRDefault="00DF6D40" w:rsidP="006B56D1">
      <w:pPr>
        <w:numPr>
          <w:ilvl w:val="0"/>
          <w:numId w:val="5"/>
        </w:numPr>
        <w:ind w:left="0"/>
      </w:pPr>
      <w:r>
        <w:rPr>
          <w:i/>
          <w:iCs/>
          <w:color w:val="800000"/>
        </w:rPr>
        <w:t xml:space="preserve"> Снижение ценности образования.</w:t>
      </w:r>
      <w:r>
        <w:t xml:space="preserve"> Коммерциализация и финансовые проблемы превращают получение образования в формальность. Взяточничество в высшей школе, низкий профессиональный уровень коммерческих вузов, сокращение бесплатных мест – все это приводит к снижению образовательных стандартов (8%).</w:t>
      </w:r>
    </w:p>
    <w:p w:rsidR="00DF6D40" w:rsidRDefault="00DF6D40" w:rsidP="006B56D1">
      <w:pPr>
        <w:numPr>
          <w:ilvl w:val="0"/>
          <w:numId w:val="5"/>
        </w:numPr>
        <w:ind w:left="0"/>
      </w:pPr>
      <w:r>
        <w:rPr>
          <w:i/>
          <w:iCs/>
          <w:color w:val="800000"/>
        </w:rPr>
        <w:t xml:space="preserve"> Отток квалифицированных кадров из высшей и средней школы.</w:t>
      </w:r>
      <w:r>
        <w:t xml:space="preserve"> В образовательных учреждениях остаются, как правило, посредственные преподаватели (5%).</w:t>
      </w:r>
    </w:p>
    <w:p w:rsidR="00DF6D40" w:rsidRDefault="00DF6D40" w:rsidP="006B56D1">
      <w:pPr>
        <w:numPr>
          <w:ilvl w:val="0"/>
          <w:numId w:val="5"/>
        </w:numPr>
        <w:ind w:left="0"/>
      </w:pPr>
      <w:r>
        <w:t xml:space="preserve"> </w:t>
      </w:r>
      <w:r>
        <w:rPr>
          <w:i/>
          <w:iCs/>
          <w:color w:val="800000"/>
        </w:rPr>
        <w:t xml:space="preserve">Отсутствие программы поддержки детей из малообеспеченных семей. </w:t>
      </w:r>
      <w:r>
        <w:t>Талантливые дети не получают образования: у них нет возможности совмещать учебу и заработки, их "оттесняют" более обеспеченные сверстники (4%).</w:t>
      </w:r>
    </w:p>
    <w:p w:rsidR="00DF6D40" w:rsidRDefault="00DF6D40" w:rsidP="006B56D1">
      <w:pPr>
        <w:numPr>
          <w:ilvl w:val="0"/>
          <w:numId w:val="5"/>
        </w:numPr>
        <w:ind w:left="0"/>
      </w:pPr>
      <w:r>
        <w:rPr>
          <w:i/>
          <w:iCs/>
          <w:color w:val="800000"/>
        </w:rPr>
        <w:t xml:space="preserve"> Одиночные суждения</w:t>
      </w:r>
      <w:r>
        <w:t>: разрушена система СПТУ, ПТУ.</w:t>
      </w:r>
    </w:p>
    <w:p w:rsidR="00DF6D40" w:rsidRDefault="00DF6D40"/>
    <w:p w:rsidR="00DF6D40" w:rsidRDefault="00DF6D40">
      <w:pPr>
        <w:spacing w:after="120"/>
        <w:rPr>
          <w:sz w:val="10"/>
          <w:szCs w:val="10"/>
        </w:rPr>
      </w:pPr>
    </w:p>
    <w:p w:rsidR="00DF6D40" w:rsidRDefault="00DF6D40">
      <w:pPr>
        <w:keepNext/>
        <w:framePr w:dropCap="drop" w:lines="2" w:wrap="auto" w:vAnchor="text" w:hAnchor="text"/>
        <w:spacing w:line="902" w:lineRule="exact"/>
        <w:ind w:firstLine="0"/>
        <w:jc w:val="left"/>
        <w:rPr>
          <w:rFonts w:ascii="Arial" w:hAnsi="Arial" w:cs="Arial"/>
          <w:b/>
          <w:bCs/>
          <w:color w:val="0000FF"/>
          <w:sz w:val="93"/>
          <w:szCs w:val="93"/>
        </w:rPr>
      </w:pPr>
      <w:r>
        <w:rPr>
          <w:rFonts w:ascii="Arial" w:hAnsi="Arial" w:cs="Arial"/>
          <w:b/>
          <w:bCs/>
          <w:color w:val="0000FF"/>
          <w:sz w:val="93"/>
          <w:szCs w:val="93"/>
        </w:rPr>
        <w:t>Р</w:t>
      </w:r>
    </w:p>
    <w:p w:rsidR="00DF6D40" w:rsidRDefault="00DF6D40">
      <w:pPr>
        <w:spacing w:before="60"/>
        <w:ind w:firstLine="0"/>
      </w:pPr>
      <w:r>
        <w:rPr>
          <w:rFonts w:ascii="Arial" w:hAnsi="Arial" w:cs="Arial"/>
          <w:b/>
          <w:bCs/>
          <w:color w:val="0000FF"/>
          <w:sz w:val="28"/>
          <w:szCs w:val="28"/>
        </w:rPr>
        <w:t>езюме</w:t>
      </w:r>
    </w:p>
    <w:p w:rsidR="00DF6D40" w:rsidRDefault="00DF6D40" w:rsidP="006B56D1">
      <w:pPr>
        <w:numPr>
          <w:ilvl w:val="12"/>
          <w:numId w:val="0"/>
        </w:numPr>
        <w:spacing w:before="40"/>
      </w:pPr>
      <w:r>
        <w:rPr>
          <w:b/>
          <w:bCs/>
          <w:color w:val="0000FF"/>
        </w:rPr>
        <w:t>1.</w:t>
      </w:r>
      <w:r>
        <w:t xml:space="preserve"> Более двух третей экспертов оценивают положение дел в сфере образования в их регионах как неудовлетворительное, кризисное. Причем пятая часть всех опрошенных журналистов дает крайне пессимистические оценки, называя ситуацию катастрофической и бесперспективной.</w:t>
      </w:r>
    </w:p>
    <w:p w:rsidR="00DF6D40" w:rsidRDefault="00DF6D40" w:rsidP="006B56D1">
      <w:pPr>
        <w:numPr>
          <w:ilvl w:val="12"/>
          <w:numId w:val="0"/>
        </w:numPr>
        <w:spacing w:before="80"/>
        <w:ind w:left="1" w:firstLine="425"/>
      </w:pPr>
      <w:r>
        <w:t>Четверть опрошенных полагает, что в ситуации с образованием присутствуют как кризисные явления, так и позитивные тенденции.</w:t>
      </w:r>
    </w:p>
    <w:p w:rsidR="00DF6D40" w:rsidRDefault="00DF6D40" w:rsidP="006B56D1">
      <w:pPr>
        <w:numPr>
          <w:ilvl w:val="12"/>
          <w:numId w:val="0"/>
        </w:numPr>
        <w:spacing w:before="80"/>
        <w:ind w:left="1" w:firstLine="425"/>
      </w:pPr>
      <w:r>
        <w:t>Положительные оценки ситуации в сфере высшего и среднего образования давали преимущественно эксперты из Калининграда, Ростова-на-Дону и Рязани.</w:t>
      </w:r>
    </w:p>
    <w:p w:rsidR="00DF6D40" w:rsidRDefault="00DF6D40" w:rsidP="006B56D1">
      <w:pPr>
        <w:numPr>
          <w:ilvl w:val="12"/>
          <w:numId w:val="0"/>
        </w:numPr>
        <w:spacing w:before="80"/>
        <w:ind w:left="1" w:firstLine="425"/>
      </w:pPr>
      <w:r>
        <w:rPr>
          <w:b/>
          <w:bCs/>
          <w:color w:val="0000FF"/>
        </w:rPr>
        <w:t>2.</w:t>
      </w:r>
      <w:r>
        <w:t xml:space="preserve"> В качестве основных причин бедственного положения эксперты называют долги по зарплате педагогам и крайне скудное финансирование образовательных учреждений. Эти факторы вызывают целый ряд кризисных тенденций вплоть до забастовок, численность которых в сфере образования превышает их численность в промышленности. По мнению представителей региональной элиты СМИ, с забастовками можно справиться своевременным перечислением денег, противодействие же другим негативным тенденциям потребует продуманной программы. </w:t>
      </w:r>
    </w:p>
    <w:p w:rsidR="00DF6D40" w:rsidRDefault="00DF6D40" w:rsidP="006B56D1">
      <w:pPr>
        <w:numPr>
          <w:ilvl w:val="12"/>
          <w:numId w:val="0"/>
        </w:numPr>
        <w:spacing w:before="80"/>
        <w:ind w:left="1" w:firstLine="425"/>
      </w:pPr>
      <w:r>
        <w:t>Основными проблемами, требующими проработанной долговременной политики, являются падение качества образования, ухудшение материально-тех</w:t>
      </w:r>
      <w:r>
        <w:rPr>
          <w:lang w:val="en-US"/>
        </w:rPr>
        <w:softHyphen/>
      </w:r>
      <w:r>
        <w:t>ни</w:t>
      </w:r>
      <w:r>
        <w:rPr>
          <w:lang w:val="en-US"/>
        </w:rPr>
        <w:softHyphen/>
      </w:r>
      <w:r>
        <w:t>чес</w:t>
      </w:r>
      <w:r>
        <w:rPr>
          <w:lang w:val="en-US"/>
        </w:rPr>
        <w:softHyphen/>
      </w:r>
      <w:r>
        <w:t>кой базы образовательных учреждений, слабая обеспеченность учебниками и новой литературой, девальвация ценности хорошего образования, падение престижа профессии и отток высококвалифицированных кадров из школ и вузов.</w:t>
      </w:r>
    </w:p>
    <w:p w:rsidR="00DF6D40" w:rsidRDefault="00DF6D40">
      <w:r>
        <w:rPr>
          <w:b/>
          <w:bCs/>
          <w:color w:val="0000FF"/>
        </w:rPr>
        <w:t>3.</w:t>
      </w:r>
      <w:r>
        <w:t xml:space="preserve"> Позитивные тенденции, по мнению экспертов, связаны в первую очередь с тем, что существует сама система среднего и высшего образования. Необходимость ее сохранения осознается и преподавателями, и региональными властями. </w:t>
      </w:r>
    </w:p>
    <w:p w:rsidR="00DF6D40" w:rsidRDefault="00DF6D40">
      <w:pPr>
        <w:rPr>
          <w:lang w:val="en-US"/>
        </w:rPr>
      </w:pPr>
      <w:r>
        <w:t>Часть оптимистично настроенных представителей региональной элиты СМИ полагает, что позитивные тенденции поддерживаются новациями, происходящими в средней и высшей школе. Кроме того, по мнению ряда экспертов, высокое качество обучения в вузах сохраняется, равно как и ориентация молодежи на получение хорошего образования.</w:t>
      </w:r>
    </w:p>
    <w:p w:rsidR="00DF6D40" w:rsidRDefault="00DF6D40">
      <w:pPr>
        <w:rPr>
          <w:i/>
          <w:iCs/>
        </w:rPr>
        <w:sectPr w:rsidR="00DF6D40">
          <w:type w:val="continuous"/>
          <w:pgSz w:w="11907" w:h="16840" w:code="9"/>
          <w:pgMar w:top="851" w:right="851" w:bottom="1134" w:left="1134" w:header="567" w:footer="939" w:gutter="0"/>
          <w:cols w:num="2" w:sep="1" w:space="720"/>
          <w:titlePg/>
        </w:sectPr>
      </w:pPr>
    </w:p>
    <w:p w:rsidR="00DF6D40" w:rsidRDefault="00DF6D40">
      <w:pPr>
        <w:rPr>
          <w:i/>
          <w:iCs/>
        </w:rPr>
      </w:pPr>
    </w:p>
    <w:sectPr w:rsidR="00DF6D40" w:rsidSect="00DF6D40">
      <w:type w:val="continuous"/>
      <w:pgSz w:w="11907" w:h="16840" w:code="9"/>
      <w:pgMar w:top="851" w:right="851" w:bottom="1134" w:left="1134" w:header="567" w:footer="939" w:gutter="0"/>
      <w:cols w:num="2" w:sep="1"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D40" w:rsidRDefault="00DF6D40">
      <w:r>
        <w:separator/>
      </w:r>
    </w:p>
  </w:endnote>
  <w:endnote w:type="continuationSeparator" w:id="1">
    <w:p w:rsidR="00DF6D40" w:rsidRDefault="00DF6D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E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dverGothic Cyr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extBook Cyr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D40" w:rsidRDefault="00DF6D40">
    <w:pPr>
      <w:pStyle w:val="Footer"/>
      <w:tabs>
        <w:tab w:val="clear" w:pos="4153"/>
        <w:tab w:val="clear" w:pos="8306"/>
        <w:tab w:val="left" w:pos="4395"/>
        <w:tab w:val="left" w:pos="7088"/>
      </w:tabs>
      <w:ind w:firstLine="0"/>
      <w:rPr>
        <w:rFonts w:ascii="TextBook Cyr" w:hAnsi="TextBook Cyr" w:cs="TextBook Cyr"/>
        <w:sz w:val="18"/>
        <w:szCs w:val="18"/>
      </w:rPr>
    </w:pPr>
    <w:r>
      <w:rPr>
        <w:sz w:val="18"/>
        <w:szCs w:val="18"/>
      </w:rPr>
      <w:t>Сообщение № 440</w:t>
    </w:r>
    <w:r>
      <w:rPr>
        <w:sz w:val="18"/>
        <w:szCs w:val="18"/>
      </w:rPr>
      <w:tab/>
      <w:t xml:space="preserve">Стр. 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PAGE </w:instrText>
    </w:r>
    <w:r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3</w:t>
    </w:r>
    <w:r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из 3</w:t>
    </w:r>
    <w:r>
      <w:rPr>
        <w:rStyle w:val="PageNumber"/>
        <w:sz w:val="18"/>
        <w:szCs w:val="18"/>
      </w:rPr>
      <w:tab/>
    </w:r>
    <w:r>
      <w:rPr>
        <w:sz w:val="18"/>
        <w:szCs w:val="18"/>
      </w:rPr>
      <w:sym w:font="Symbol" w:char="F0E3"/>
    </w:r>
    <w:r>
      <w:rPr>
        <w:sz w:val="18"/>
        <w:szCs w:val="18"/>
      </w:rPr>
      <w:t xml:space="preserve"> Фонд “Общественное мнение”</w:t>
    </w:r>
  </w:p>
  <w:p w:rsidR="00DF6D40" w:rsidRDefault="00DF6D40">
    <w:pPr>
      <w:pStyle w:val="Footer"/>
      <w:jc w:val="center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D40" w:rsidRDefault="00DF6D40">
    <w:pPr>
      <w:pStyle w:val="Footer"/>
      <w:tabs>
        <w:tab w:val="clear" w:pos="4153"/>
        <w:tab w:val="clear" w:pos="8306"/>
        <w:tab w:val="left" w:pos="4395"/>
        <w:tab w:val="left" w:pos="7088"/>
      </w:tabs>
      <w:spacing w:before="80"/>
      <w:ind w:firstLine="0"/>
    </w:pPr>
    <w:r>
      <w:rPr>
        <w:sz w:val="18"/>
        <w:szCs w:val="18"/>
      </w:rPr>
      <w:t>Сообщение № 440</w:t>
    </w:r>
    <w:r>
      <w:rPr>
        <w:sz w:val="18"/>
        <w:szCs w:val="18"/>
      </w:rPr>
      <w:tab/>
      <w:t xml:space="preserve">Стр. 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PAGE </w:instrText>
    </w:r>
    <w:r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из 3</w:t>
    </w:r>
    <w:r>
      <w:rPr>
        <w:rStyle w:val="PageNumber"/>
        <w:sz w:val="18"/>
        <w:szCs w:val="18"/>
      </w:rPr>
      <w:tab/>
    </w:r>
    <w:r>
      <w:rPr>
        <w:sz w:val="18"/>
        <w:szCs w:val="18"/>
      </w:rPr>
      <w:sym w:font="Symbol" w:char="F0E3"/>
    </w:r>
    <w:r>
      <w:rPr>
        <w:sz w:val="18"/>
        <w:szCs w:val="18"/>
      </w:rPr>
      <w:t xml:space="preserve"> Фонд “Общественное мнение”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D40" w:rsidRDefault="00DF6D40">
      <w:pPr>
        <w:spacing w:before="0"/>
      </w:pPr>
      <w:r>
        <w:separator/>
      </w:r>
    </w:p>
  </w:footnote>
  <w:footnote w:type="continuationSeparator" w:id="1">
    <w:p w:rsidR="00DF6D40" w:rsidRDefault="00DF6D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FAE823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-425"/>
        <w:lvlJc w:val="left"/>
        <w:pPr>
          <w:ind w:firstLine="425"/>
        </w:pPr>
        <w:rPr>
          <w:rFonts w:ascii="Symbol" w:hAnsi="Symbol" w:cs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113" w:legacyIndent="283"/>
        <w:lvlJc w:val="left"/>
        <w:pPr>
          <w:ind w:left="708" w:hanging="283"/>
        </w:pPr>
        <w:rPr>
          <w:rFonts w:ascii="Symbol" w:hAnsi="Symbol" w:cs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9" w:hanging="283"/>
        </w:pPr>
        <w:rPr>
          <w:rFonts w:ascii="Symbol" w:hAnsi="Symbol" w:cs="Symbol" w:hint="default"/>
          <w:color w:val="800000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113" w:legacyIndent="0"/>
        <w:lvlJc w:val="left"/>
        <w:pPr>
          <w:ind w:left="425"/>
        </w:pPr>
        <w:rPr>
          <w:rFonts w:ascii="Symbol" w:hAnsi="Symbol" w:cs="Symbol" w:hint="default"/>
          <w:color w:val="800000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0"/>
        <w:lvlJc w:val="left"/>
        <w:pPr>
          <w:ind w:left="425"/>
        </w:pPr>
        <w:rPr>
          <w:rFonts w:ascii="Symbol" w:hAnsi="Symbol" w:cs="Symbol" w:hint="default"/>
          <w:color w:val="80000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printColBlack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56D1"/>
    <w:rsid w:val="006B56D1"/>
    <w:rsid w:val="00DF6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before="120"/>
      <w:ind w:firstLine="425"/>
      <w:jc w:val="both"/>
      <w:textAlignment w:val="baseline"/>
    </w:pPr>
    <w:rPr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ind w:firstLine="0"/>
      <w:outlineLvl w:val="0"/>
    </w:pPr>
    <w:rPr>
      <w:rFonts w:ascii="Arial MT" w:hAnsi="Arial MT" w:cs="Arial MT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500" w:after="200"/>
      <w:ind w:firstLine="0"/>
      <w:outlineLvl w:val="1"/>
    </w:pPr>
    <w:rPr>
      <w:rFonts w:ascii="Arial" w:hAnsi="Arial" w:cs="Arial"/>
      <w:b/>
      <w:bCs/>
      <w:i/>
      <w:iCs/>
      <w:color w:val="008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 w:after="60"/>
      <w:ind w:firstLine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ind w:firstLine="0"/>
      <w:outlineLvl w:val="3"/>
    </w:pPr>
    <w:rPr>
      <w:rFonts w:ascii="TimesNewRomanPS" w:hAnsi="TimesNewRomanPS" w:cs="TimesNewRomanPS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ind w:firstLine="0"/>
      <w:outlineLvl w:val="4"/>
    </w:pPr>
    <w:rPr>
      <w:rFonts w:ascii="Arial MT" w:hAnsi="Arial MT" w:cs="Arial MT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240" w:after="60"/>
      <w:ind w:firstLine="0"/>
      <w:outlineLvl w:val="5"/>
    </w:pPr>
    <w:rPr>
      <w:rFonts w:ascii="Arial MT" w:hAnsi="Arial MT" w:cs="Arial MT"/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before="240" w:after="60"/>
      <w:ind w:firstLine="0"/>
      <w:outlineLvl w:val="6"/>
    </w:pPr>
    <w:rPr>
      <w:rFonts w:ascii="Arial MT" w:hAnsi="Arial MT" w:cs="Arial MT"/>
    </w:rPr>
  </w:style>
  <w:style w:type="paragraph" w:styleId="Heading8">
    <w:name w:val="heading 8"/>
    <w:basedOn w:val="Normal"/>
    <w:next w:val="Normal"/>
    <w:link w:val="Heading8Char"/>
    <w:uiPriority w:val="99"/>
    <w:qFormat/>
    <w:pPr>
      <w:spacing w:before="240" w:after="60"/>
      <w:ind w:firstLine="0"/>
      <w:outlineLvl w:val="7"/>
    </w:pPr>
    <w:rPr>
      <w:rFonts w:ascii="Arial MT" w:hAnsi="Arial MT" w:cs="Arial MT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pPr>
      <w:spacing w:before="240" w:after="60"/>
      <w:ind w:firstLine="0"/>
      <w:outlineLvl w:val="8"/>
    </w:pPr>
    <w:rPr>
      <w:rFonts w:ascii="Arial MT" w:hAnsi="Arial MT" w:cs="Arial MT"/>
      <w:i/>
      <w:i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15D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15D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15D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15D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15D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15DC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15DC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15DC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15DC"/>
    <w:rPr>
      <w:rFonts w:asciiTheme="majorHAnsi" w:eastAsiaTheme="majorEastAsia" w:hAnsiTheme="majorHAnsi" w:cstheme="majorBidi"/>
    </w:rPr>
  </w:style>
  <w:style w:type="paragraph" w:customStyle="1" w:styleId="adress">
    <w:name w:val="adress"/>
    <w:basedOn w:val="Normal"/>
    <w:uiPriority w:val="99"/>
    <w:pPr>
      <w:tabs>
        <w:tab w:val="left" w:pos="567"/>
        <w:tab w:val="left" w:pos="4537"/>
        <w:tab w:val="left" w:pos="4820"/>
        <w:tab w:val="right" w:pos="8222"/>
      </w:tabs>
      <w:spacing w:line="360" w:lineRule="auto"/>
      <w:ind w:firstLine="284"/>
    </w:pPr>
    <w:rPr>
      <w:rFonts w:ascii="SchoolBook" w:hAnsi="SchoolBook" w:cs="SchoolBook"/>
      <w:sz w:val="24"/>
      <w:szCs w:val="24"/>
    </w:rPr>
  </w:style>
  <w:style w:type="paragraph" w:customStyle="1" w:styleId="left">
    <w:name w:val="left"/>
    <w:basedOn w:val="Normal"/>
    <w:uiPriority w:val="99"/>
    <w:pPr>
      <w:tabs>
        <w:tab w:val="left" w:pos="284"/>
        <w:tab w:val="left" w:pos="3119"/>
        <w:tab w:val="left" w:pos="3686"/>
      </w:tabs>
      <w:spacing w:line="240" w:lineRule="atLeast"/>
      <w:ind w:left="357" w:hanging="357"/>
    </w:pPr>
    <w:rPr>
      <w:rFonts w:ascii="SchoolBook" w:hAnsi="SchoolBook" w:cs="SchoolBook"/>
      <w:sz w:val="22"/>
      <w:szCs w:val="22"/>
    </w:rPr>
  </w:style>
  <w:style w:type="paragraph" w:styleId="TOC1">
    <w:name w:val="toc 1"/>
    <w:basedOn w:val="Normal"/>
    <w:next w:val="Normal"/>
    <w:uiPriority w:val="99"/>
    <w:semiHidden/>
    <w:pPr>
      <w:tabs>
        <w:tab w:val="right" w:leader="dot" w:pos="11108"/>
      </w:tabs>
    </w:pPr>
  </w:style>
  <w:style w:type="paragraph" w:styleId="TOC2">
    <w:name w:val="toc 2"/>
    <w:basedOn w:val="Normal"/>
    <w:next w:val="Normal"/>
    <w:uiPriority w:val="99"/>
    <w:semiHidden/>
    <w:pPr>
      <w:tabs>
        <w:tab w:val="right" w:leader="dot" w:pos="11108"/>
      </w:tabs>
      <w:ind w:left="200"/>
    </w:pPr>
  </w:style>
  <w:style w:type="paragraph" w:styleId="TOC3">
    <w:name w:val="toc 3"/>
    <w:basedOn w:val="Normal"/>
    <w:next w:val="Normal"/>
    <w:uiPriority w:val="99"/>
    <w:semiHidden/>
    <w:pPr>
      <w:tabs>
        <w:tab w:val="right" w:leader="dot" w:pos="11108"/>
      </w:tabs>
      <w:ind w:left="400"/>
    </w:pPr>
  </w:style>
  <w:style w:type="paragraph" w:styleId="TOC4">
    <w:name w:val="toc 4"/>
    <w:basedOn w:val="Normal"/>
    <w:next w:val="Normal"/>
    <w:uiPriority w:val="99"/>
    <w:semiHidden/>
    <w:pPr>
      <w:tabs>
        <w:tab w:val="right" w:leader="dot" w:pos="11108"/>
      </w:tabs>
      <w:ind w:left="600"/>
    </w:pPr>
  </w:style>
  <w:style w:type="paragraph" w:styleId="TOC5">
    <w:name w:val="toc 5"/>
    <w:basedOn w:val="Normal"/>
    <w:next w:val="Normal"/>
    <w:uiPriority w:val="99"/>
    <w:semiHidden/>
    <w:pPr>
      <w:tabs>
        <w:tab w:val="right" w:leader="dot" w:pos="11108"/>
      </w:tabs>
      <w:ind w:left="800"/>
    </w:pPr>
  </w:style>
  <w:style w:type="paragraph" w:styleId="TOC6">
    <w:name w:val="toc 6"/>
    <w:basedOn w:val="Normal"/>
    <w:next w:val="Normal"/>
    <w:uiPriority w:val="99"/>
    <w:semiHidden/>
    <w:pPr>
      <w:tabs>
        <w:tab w:val="right" w:leader="dot" w:pos="11108"/>
      </w:tabs>
      <w:ind w:left="1000"/>
    </w:pPr>
  </w:style>
  <w:style w:type="paragraph" w:styleId="TOC7">
    <w:name w:val="toc 7"/>
    <w:basedOn w:val="Normal"/>
    <w:next w:val="Normal"/>
    <w:uiPriority w:val="99"/>
    <w:semiHidden/>
    <w:pPr>
      <w:tabs>
        <w:tab w:val="right" w:leader="dot" w:pos="11108"/>
      </w:tabs>
      <w:ind w:left="1200"/>
    </w:pPr>
  </w:style>
  <w:style w:type="paragraph" w:styleId="TOC8">
    <w:name w:val="toc 8"/>
    <w:basedOn w:val="Normal"/>
    <w:next w:val="Normal"/>
    <w:uiPriority w:val="99"/>
    <w:semiHidden/>
    <w:pPr>
      <w:tabs>
        <w:tab w:val="right" w:leader="dot" w:pos="11108"/>
      </w:tabs>
      <w:ind w:left="1400"/>
    </w:pPr>
  </w:style>
  <w:style w:type="paragraph" w:styleId="TOC9">
    <w:name w:val="toc 9"/>
    <w:basedOn w:val="Normal"/>
    <w:next w:val="Normal"/>
    <w:uiPriority w:val="99"/>
    <w:semiHidden/>
    <w:pPr>
      <w:tabs>
        <w:tab w:val="right" w:leader="dot" w:pos="11108"/>
      </w:tabs>
      <w:ind w:left="1600"/>
    </w:pPr>
  </w:style>
  <w:style w:type="character" w:styleId="PageNumber">
    <w:name w:val="page number"/>
    <w:basedOn w:val="DefaultParagraphFont"/>
    <w:uiPriority w:val="99"/>
  </w:style>
  <w:style w:type="paragraph" w:customStyle="1" w:styleId="2">
    <w:name w:val="МойСтиль2"/>
    <w:basedOn w:val="Normal"/>
    <w:uiPriority w:val="99"/>
    <w:pPr>
      <w:spacing w:before="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spacing w:before="0" w:after="120"/>
      <w:ind w:firstLine="0"/>
      <w:jc w:val="left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B15DC"/>
    <w:rPr>
      <w:sz w:val="26"/>
      <w:szCs w:val="26"/>
    </w:rPr>
  </w:style>
  <w:style w:type="paragraph" w:customStyle="1" w:styleId="3">
    <w:name w:val="Таб.3 (справа)"/>
    <w:basedOn w:val="20"/>
    <w:uiPriority w:val="99"/>
    <w:pPr>
      <w:jc w:val="right"/>
    </w:pPr>
    <w:rPr>
      <w:i/>
      <w:iCs/>
      <w:sz w:val="22"/>
      <w:szCs w:val="22"/>
    </w:rPr>
  </w:style>
  <w:style w:type="paragraph" w:customStyle="1" w:styleId="20">
    <w:name w:val="Таб.2 (по центру)"/>
    <w:basedOn w:val="1"/>
    <w:uiPriority w:val="99"/>
    <w:pPr>
      <w:jc w:val="center"/>
    </w:pPr>
  </w:style>
  <w:style w:type="paragraph" w:customStyle="1" w:styleId="1">
    <w:name w:val="Таб.1 (слева)"/>
    <w:basedOn w:val="Normal"/>
    <w:uiPriority w:val="99"/>
    <w:pPr>
      <w:spacing w:before="0"/>
      <w:ind w:firstLine="0"/>
      <w:jc w:val="left"/>
    </w:pPr>
    <w:rPr>
      <w:sz w:val="20"/>
      <w:szCs w:val="20"/>
    </w:rPr>
  </w:style>
  <w:style w:type="paragraph" w:customStyle="1" w:styleId="a">
    <w:name w:val="Табл"/>
    <w:basedOn w:val="a0"/>
    <w:uiPriority w:val="99"/>
    <w:pPr>
      <w:ind w:left="0" w:firstLine="0"/>
    </w:pPr>
  </w:style>
  <w:style w:type="paragraph" w:customStyle="1" w:styleId="a0">
    <w:name w:val="Списки"/>
    <w:basedOn w:val="Normal"/>
    <w:uiPriority w:val="99"/>
    <w:pPr>
      <w:keepNext/>
      <w:tabs>
        <w:tab w:val="left" w:pos="3969"/>
        <w:tab w:val="left" w:pos="5670"/>
        <w:tab w:val="left" w:pos="7371"/>
        <w:tab w:val="left" w:pos="8505"/>
      </w:tabs>
      <w:spacing w:before="0"/>
      <w:ind w:left="993" w:hanging="284"/>
    </w:pPr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before="0" w:line="36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B15DC"/>
    <w:rPr>
      <w:sz w:val="26"/>
      <w:szCs w:val="26"/>
    </w:rPr>
  </w:style>
  <w:style w:type="paragraph" w:customStyle="1" w:styleId="a1">
    <w:name w:val="Таблица"/>
    <w:basedOn w:val="Normal"/>
    <w:uiPriority w:val="99"/>
    <w:pPr>
      <w:keepNext/>
      <w:spacing w:before="0"/>
      <w:ind w:firstLine="0"/>
      <w:jc w:val="left"/>
    </w:pPr>
    <w:rPr>
      <w:rFonts w:ascii="TimesET" w:hAnsi="TimesET" w:cs="TimesET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pacing w:before="0"/>
      <w:ind w:firstLine="0"/>
      <w:jc w:val="left"/>
    </w:pPr>
    <w:rPr>
      <w:rFonts w:ascii="TimesET" w:hAnsi="TimesET" w:cs="TimesET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B15DC"/>
    <w:rPr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15D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893</Words>
  <Characters>5091</Characters>
  <Application>Microsoft Office Outlook</Application>
  <DocSecurity>0</DocSecurity>
  <Lines>0</Lines>
  <Paragraphs>0</Paragraphs>
  <ScaleCrop>false</ScaleCrop>
  <Company>Фонд "Общественное мнение"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Фонд “Общественное мнение”</dc:title>
  <dc:subject/>
  <dc:creator>kkk</dc:creator>
  <cp:keywords/>
  <dc:description/>
  <cp:lastModifiedBy>Rimskiy</cp:lastModifiedBy>
  <cp:revision>2</cp:revision>
  <cp:lastPrinted>1998-12-09T11:14:00Z</cp:lastPrinted>
  <dcterms:created xsi:type="dcterms:W3CDTF">2017-08-01T18:03:00Z</dcterms:created>
  <dcterms:modified xsi:type="dcterms:W3CDTF">2017-08-01T18:03:00Z</dcterms:modified>
</cp:coreProperties>
</file>