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F" w:rsidRDefault="00AD21CF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AD21CF" w:rsidRDefault="00AD21CF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AD21CF" w:rsidRDefault="00AD21CF">
                  <w:pPr>
                    <w:spacing w:before="60" w:after="12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AD21CF" w:rsidRDefault="00AD21CF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 декабря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AD21CF" w:rsidRDefault="00AD21CF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121 (436)</w:t>
                  </w:r>
                </w:p>
              </w:txbxContent>
            </v:textbox>
          </v:rect>
        </w:pict>
      </w:r>
    </w:p>
    <w:p w:rsidR="00AD21CF" w:rsidRDefault="00AD21CF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AD21CF" w:rsidRDefault="00AD21C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AD21CF" w:rsidRDefault="00AD21CF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8-29 ноября 1998 г.</w:t>
                  </w:r>
                </w:p>
              </w:txbxContent>
            </v:textbox>
          </v:roundrect>
        </w:pict>
      </w: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  <w:sectPr w:rsidR="00AD21CF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12"/>
          <w:szCs w:val="12"/>
        </w:rPr>
      </w:pPr>
    </w:p>
    <w:p w:rsidR="00AD21CF" w:rsidRDefault="00AD21CF">
      <w:pPr>
        <w:rPr>
          <w:rFonts w:ascii="TimesET Cyr" w:hAnsi="TimesET Cyr" w:cs="TimesET Cyr"/>
          <w:sz w:val="8"/>
          <w:szCs w:val="8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Эле</w:t>
      </w:r>
      <w:r>
        <w:rPr>
          <w:rFonts w:ascii="Arial" w:hAnsi="Arial" w:cs="Arial"/>
          <w:sz w:val="22"/>
          <w:szCs w:val="22"/>
        </w:rPr>
        <w:t>кторальные показатели</w:t>
      </w:r>
      <w:r>
        <w:rPr>
          <w:rFonts w:ascii="Arial" w:hAnsi="Arial" w:cs="Arial"/>
          <w:sz w:val="22"/>
          <w:szCs w:val="22"/>
        </w:rPr>
        <w:tab/>
        <w:t>3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11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TextBook Cyr" w:hAnsi="TextBook Cyr" w:cs="TextBook Cyr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13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14</w:t>
      </w:r>
    </w:p>
    <w:p w:rsidR="00AD21CF" w:rsidRDefault="00AD21C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AD21CF" w:rsidRDefault="00AD21C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AD21CF" w:rsidRDefault="00AD21CF">
      <w:pPr>
        <w:rPr>
          <w:rFonts w:ascii="TimesET Cyr" w:hAnsi="TimesET Cyr" w:cs="TimesET Cyr"/>
        </w:rPr>
      </w:pPr>
    </w:p>
    <w:p w:rsidR="00AD21CF" w:rsidRDefault="00AD21CF">
      <w:pPr>
        <w:rPr>
          <w:rFonts w:ascii="TimesET Cyr" w:hAnsi="TimesET Cyr" w:cs="TimesET Cyr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lang w:val="en-US"/>
        </w:rPr>
      </w:pPr>
    </w:p>
    <w:p w:rsidR="00AD21CF" w:rsidRDefault="00AD21CF">
      <w:pPr>
        <w:rPr>
          <w:rFonts w:ascii="Arial" w:hAnsi="Arial" w:cs="Arial"/>
          <w:lang w:val="en-US"/>
        </w:rPr>
      </w:pPr>
    </w:p>
    <w:p w:rsidR="00AD21CF" w:rsidRDefault="00AD21CF">
      <w:pPr>
        <w:rPr>
          <w:rFonts w:ascii="Arial" w:hAnsi="Arial" w:cs="Arial"/>
        </w:rPr>
      </w:pPr>
    </w:p>
    <w:p w:rsidR="00AD21CF" w:rsidRDefault="00AD21CF">
      <w:pPr>
        <w:rPr>
          <w:rFonts w:ascii="Arial" w:hAnsi="Arial" w:cs="Arial"/>
          <w:sz w:val="10"/>
          <w:szCs w:val="10"/>
        </w:rPr>
      </w:pPr>
    </w:p>
    <w:p w:rsidR="00AD21CF" w:rsidRDefault="00AD21CF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Сегодня и завтра: оценки</w:t>
      </w:r>
      <w:r>
        <w:rPr>
          <w:rFonts w:ascii="Arial" w:hAnsi="Arial" w:cs="Arial"/>
          <w:sz w:val="22"/>
          <w:szCs w:val="22"/>
        </w:rPr>
        <w:tab/>
        <w:t>16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Реформы: да или нет</w:t>
      </w:r>
      <w:r>
        <w:rPr>
          <w:rFonts w:ascii="Arial" w:hAnsi="Arial" w:cs="Arial"/>
          <w:sz w:val="22"/>
          <w:szCs w:val="22"/>
        </w:rPr>
        <w:tab/>
        <w:t>17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 и после кризиса</w:t>
      </w:r>
      <w:r>
        <w:rPr>
          <w:rFonts w:ascii="Arial" w:hAnsi="Arial" w:cs="Arial"/>
          <w:sz w:val="22"/>
          <w:szCs w:val="22"/>
        </w:rPr>
        <w:tab/>
        <w:t>18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Лужков и движение "Отечество"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НПСР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заявлении К. Илюмжинова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алкоголе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:rsidR="00AD21CF" w:rsidRDefault="00AD21CF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AD21CF" w:rsidRDefault="00AD21C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AD21CF" w:rsidRDefault="00AD21CF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AD21CF" w:rsidRDefault="00AD21CF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AD21CF" w:rsidRDefault="00AD21CF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"шапкам" таблиц (базовые группы)</w:t>
      </w:r>
    </w:p>
    <w:p w:rsidR="00AD21CF" w:rsidRDefault="00AD21CF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AD21CF" w:rsidRDefault="00AD21CF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AD21CF" w:rsidRDefault="00AD21CF" w:rsidP="004633C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группы,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</w:t>
      </w:r>
    </w:p>
    <w:p w:rsidR="00AD21CF" w:rsidRDefault="00AD21CF" w:rsidP="004633C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AD21CF" w:rsidRDefault="00AD21CF" w:rsidP="004633C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группы, определяемые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AD21CF" w:rsidRDefault="00AD21CF" w:rsidP="004633CC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AD21CF" w:rsidRDefault="00AD21CF" w:rsidP="004633C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AD21CF" w:rsidRDefault="00AD21CF" w:rsidP="004633CC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Объёмы базовых групп указаны в "шапках" таблиц (строка "Доли (%) групп в населении").</w:t>
      </w: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b/>
          <w:bCs/>
          <w:color w:val="0000FF"/>
          <w:position w:val="-6"/>
          <w:sz w:val="4"/>
          <w:szCs w:val="4"/>
        </w:rPr>
      </w:pP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П</w:t>
      </w:r>
      <w:r>
        <w:rPr>
          <w:rFonts w:ascii="Arial" w:hAnsi="Arial" w:cs="Arial"/>
          <w:b/>
          <w:bCs/>
          <w:color w:val="0000FF"/>
          <w:sz w:val="26"/>
          <w:szCs w:val="26"/>
        </w:rPr>
        <w:t>ояснения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к таблицам - "портретам" политиков</w:t>
      </w: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AD21CF" w:rsidRDefault="00AD21CF">
      <w:p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</w:p>
    <w:p w:rsidR="00AD21CF" w:rsidRDefault="00AD21CF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AD21CF" w:rsidRDefault="00AD21CF" w:rsidP="004633C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AD21CF" w:rsidRDefault="00AD21CF" w:rsidP="004633CC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AD21CF" w:rsidRDefault="00AD21CF" w:rsidP="004633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AD21CF" w:rsidRDefault="00AD21CF" w:rsidP="004633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AD21CF" w:rsidRDefault="00AD21CF" w:rsidP="004633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AD21CF" w:rsidRDefault="00AD21CF" w:rsidP="004633C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AD21CF" w:rsidRDefault="00AD21CF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AD21CF" w:rsidRDefault="00AD21CF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D21CF" w:rsidRDefault="00AD21CF">
      <w:pPr>
        <w:tabs>
          <w:tab w:val="left" w:pos="3686"/>
        </w:tabs>
        <w:ind w:left="284"/>
        <w:rPr>
          <w:rFonts w:ascii="TimesET Cyr" w:hAnsi="TimesET Cyr" w:cs="TimesET Cyr"/>
        </w:rPr>
        <w:sectPr w:rsidR="00AD21CF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AD21CF" w:rsidRDefault="00AD21CF">
      <w:pPr>
        <w:rPr>
          <w:rFonts w:ascii="TimesET Cyr" w:hAnsi="TimesET Cyr" w:cs="TimesET Cyr"/>
          <w:sz w:val="4"/>
          <w:szCs w:val="4"/>
        </w:rPr>
      </w:pPr>
    </w:p>
    <w:sectPr w:rsidR="00AD21CF" w:rsidSect="00AD21CF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CF" w:rsidRDefault="00AD21CF">
      <w:r>
        <w:separator/>
      </w:r>
    </w:p>
  </w:endnote>
  <w:endnote w:type="continuationSeparator" w:id="1">
    <w:p w:rsidR="00AD21CF" w:rsidRDefault="00AD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CF" w:rsidRDefault="00AD21CF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121 (436)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2</w:t>
    </w:r>
    <w:r>
      <w:rPr>
        <w:rFonts w:ascii="Arial" w:hAnsi="Arial" w:cs="Arial"/>
        <w:sz w:val="18"/>
        <w:szCs w:val="18"/>
        <w:lang w:val="en-US"/>
      </w:rPr>
      <w:t>6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CF" w:rsidRDefault="00AD21CF">
      <w:r>
        <w:separator/>
      </w:r>
    </w:p>
  </w:footnote>
  <w:footnote w:type="continuationSeparator" w:id="1">
    <w:p w:rsidR="00AD21CF" w:rsidRDefault="00AD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CA9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CC"/>
    <w:rsid w:val="004633CC"/>
    <w:rsid w:val="00A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D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D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6DE1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DE1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414</Words>
  <Characters>2366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1998-12-02T12:01:00Z</cp:lastPrinted>
  <dcterms:created xsi:type="dcterms:W3CDTF">2017-08-01T18:01:00Z</dcterms:created>
  <dcterms:modified xsi:type="dcterms:W3CDTF">2017-08-01T18:01:00Z</dcterms:modified>
</cp:coreProperties>
</file>