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6B" w:rsidRDefault="00936A6B">
      <w:pPr>
        <w:framePr w:w="5900" w:h="426" w:hSpace="180" w:wrap="auto" w:vAnchor="text" w:hAnchor="page" w:x="3316" w:y="268"/>
        <w:spacing w:before="0"/>
        <w:ind w:firstLine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3872" from="281.15pt,10.7pt" to="388.6pt,11.25pt" o:allowincell="f" strokecolor="red" strokeweight="6pt">
            <v:stroke startarrowwidth="narrow" startarrowlength="short" endarrowwidth="narrow" endarrowlength="short"/>
          </v:line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 xml:space="preserve">  Фонд “Общественное мнение”</w:t>
      </w:r>
    </w:p>
    <w:p w:rsidR="00936A6B" w:rsidRDefault="00936A6B">
      <w:pPr>
        <w:ind w:firstLine="142"/>
        <w:rPr>
          <w:color w:val="0000FF"/>
        </w:rPr>
        <w:sectPr w:rsidR="00936A6B">
          <w:footerReference w:type="default" r:id="rId7"/>
          <w:footerReference w:type="first" r:id="rId8"/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  <w:r>
        <w:rPr>
          <w:noProof/>
        </w:rPr>
        <w:pict>
          <v:rect id="_x0000_s1027" style="position:absolute;left:0;text-align:left;margin-left:123.25pt;margin-top:43.8pt;width:309.55pt;height:43.4pt;z-index:251662848" o:allowincell="f" fillcolor="#bfbfbf" stroked="f" strokeweight="1pt">
            <v:shadow on="t" color="black" offset="3.75pt,2.5pt"/>
            <v:textbox inset="1pt,1pt,1pt,1pt">
              <w:txbxContent>
                <w:p w:rsidR="00936A6B" w:rsidRDefault="00936A6B">
                  <w:pPr>
                    <w:spacing w:before="60" w:after="120"/>
                    <w:ind w:firstLine="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8752" from=".85pt,7.95pt" to="50.1pt,8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1824" o:allowincell="f" fillcolor="#bfbfbf" stroked="f" strokeweight="1pt">
            <v:shadow on="t" color="black" offset="3.75pt,2.5pt"/>
            <v:textbox inset="1pt,1pt,1pt,1pt">
              <w:txbxContent>
                <w:p w:rsidR="00936A6B" w:rsidRDefault="00936A6B">
                  <w:pPr>
                    <w:spacing w:after="2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28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июля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936A6B" w:rsidRDefault="00936A6B">
                  <w:pPr>
                    <w:spacing w:before="0"/>
                    <w:ind w:firstLine="0"/>
                    <w:jc w:val="center"/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№ 74 (389)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0800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59776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4896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6704" from="61.45pt,7.85pt" to="411.4pt,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80.05pt,25.25pt" to="113.7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x;z-index:251655680" from="-20.75pt,25.5pt" to=".9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6" style="position:absolute;left:0;text-align:left;z-index:251654656" from="431.3pt,29.55pt" to="497.8pt,29.6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9" o:title=""/>
            <w10:borderbottom type="single" width="6"/>
            <w10:borderright type="single" width="6"/>
          </v:shape>
        </w:pict>
      </w:r>
      <w:r>
        <w:rPr>
          <w:color w:val="0000FF"/>
        </w:rPr>
        <w:t xml:space="preserve">   </w:t>
      </w:r>
    </w:p>
    <w:p w:rsidR="00936A6B" w:rsidRDefault="00936A6B">
      <w:pPr>
        <w:ind w:firstLine="142"/>
      </w:pPr>
      <w:r>
        <w:rPr>
          <w:noProof/>
        </w:rPr>
        <w:pict>
          <v:line id="_x0000_s1037" style="position:absolute;left:0;text-align:left;flip:y;z-index:251653632" from="11.6pt,18.75pt" to="509.7pt,135.45pt" o:allowincell="f" strokecolor="red" strokeweight="6pt">
            <v:stroke startarrowwidth="narrow" startarrowlength="short" endarrowwidth="narrow" endarrowlength="short"/>
          </v:line>
        </w:pict>
      </w:r>
    </w:p>
    <w:p w:rsidR="00936A6B" w:rsidRDefault="00936A6B"/>
    <w:p w:rsidR="00936A6B" w:rsidRDefault="00936A6B">
      <w:r>
        <w:rPr>
          <w:noProof/>
        </w:rPr>
        <w:pict>
          <v:roundrect id="_x0000_s1038" style="position:absolute;left:0;text-align:left;margin-left:36.85pt;margin-top:3.1pt;width:302.45pt;height:1in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936A6B" w:rsidRDefault="00936A6B">
                  <w:pPr>
                    <w:spacing w:before="100" w:after="20"/>
                    <w:ind w:firstLine="0"/>
                    <w:jc w:val="center"/>
                    <w:rPr>
                      <w:b/>
                      <w:bCs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t xml:space="preserve">Региональная информационная элита: место московских телекомпаний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0"/>
                      <w:szCs w:val="30"/>
                    </w:rPr>
                    <w:br/>
                    <w:t>в региональном эфире</w:t>
                  </w:r>
                </w:p>
              </w:txbxContent>
            </v:textbox>
          </v:roundrect>
        </w:pict>
      </w:r>
    </w:p>
    <w:p w:rsidR="00936A6B" w:rsidRDefault="00936A6B"/>
    <w:p w:rsidR="00936A6B" w:rsidRDefault="00936A6B"/>
    <w:p w:rsidR="00936A6B" w:rsidRDefault="00936A6B">
      <w:pPr>
        <w:rPr>
          <w:sz w:val="8"/>
          <w:szCs w:val="8"/>
        </w:rPr>
      </w:pPr>
    </w:p>
    <w:p w:rsidR="00936A6B" w:rsidRDefault="00936A6B">
      <w:pPr>
        <w:jc w:val="center"/>
        <w:rPr>
          <w:b/>
          <w:bCs/>
          <w:sz w:val="6"/>
          <w:szCs w:val="6"/>
        </w:rPr>
        <w:sectPr w:rsidR="00936A6B">
          <w:type w:val="continuous"/>
          <w:pgSz w:w="11907" w:h="16840" w:code="9"/>
          <w:pgMar w:top="851" w:right="851" w:bottom="1134" w:left="1134" w:header="567" w:footer="939" w:gutter="0"/>
          <w:cols w:sep="1" w:space="720"/>
          <w:titlePg/>
        </w:sectPr>
      </w:pPr>
    </w:p>
    <w:p w:rsidR="00936A6B" w:rsidRDefault="00936A6B">
      <w:pPr>
        <w:jc w:val="center"/>
        <w:rPr>
          <w:b/>
          <w:bCs/>
          <w:sz w:val="6"/>
          <w:szCs w:val="6"/>
        </w:rPr>
      </w:pPr>
    </w:p>
    <w:p w:rsidR="00936A6B" w:rsidRDefault="00936A6B">
      <w:pPr>
        <w:jc w:val="center"/>
        <w:rPr>
          <w:b/>
          <w:bCs/>
          <w:sz w:val="6"/>
          <w:szCs w:val="6"/>
        </w:rPr>
        <w:sectPr w:rsidR="00936A6B"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936A6B" w:rsidRDefault="00936A6B">
      <w:pPr>
        <w:jc w:val="center"/>
        <w:rPr>
          <w:b/>
          <w:bCs/>
          <w:sz w:val="6"/>
          <w:szCs w:val="6"/>
        </w:rPr>
      </w:pPr>
    </w:p>
    <w:p w:rsidR="00936A6B" w:rsidRDefault="00936A6B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936A6B" w:rsidRDefault="00936A6B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936A6B" w:rsidRDefault="00936A6B">
      <w:pPr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Телефонные интервью с экспертами – ведущими аналитиками и руководителями региональных СМИ, проведенные в 9 регионах Европейской части РФ (Брянск, Волгоград, Вологда, Калининград, Калуга, Ростов-на-Дону, Рязань, Ставрополь, Ульяновск). Опрошено 90 человек. Опрос был проведен в июле 1998 года.</w:t>
      </w:r>
    </w:p>
    <w:p w:rsidR="00936A6B" w:rsidRDefault="00936A6B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 ходе опроса экспертам были заданы следующие вопросы:</w:t>
      </w:r>
    </w:p>
    <w:p w:rsidR="00936A6B" w:rsidRDefault="00936A6B">
      <w:pPr>
        <w:ind w:firstLine="426"/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>“Можно ли сегодня говорить об экспансии, активном проникновении в телеэфир Вашего региона московских телекомпаний, создавших собственные телесети — “ТВ Центр”, “ТВ 6 МОСКВА”, “СТС”, “31 канал”, “ТНТ”, “REN TV”, “МУЗ ТВ”?</w:t>
      </w:r>
    </w:p>
    <w:p w:rsidR="00936A6B" w:rsidRDefault="00936A6B">
      <w:pPr>
        <w:ind w:firstLine="426"/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>“Каковы , на Ваш взгляд , последствия такой экспансии московских телекомпаний в региональном телеэфире? Как складывается в таких случаях конкурентная борьба за зрителя между московскими и местными телекомпаниями в Вашем регионе? Кто из них оказывается победителем в этой борьбе?”.</w:t>
      </w:r>
    </w:p>
    <w:p w:rsidR="00936A6B" w:rsidRDefault="00936A6B">
      <w:pPr>
        <w:spacing w:line="360" w:lineRule="auto"/>
        <w:ind w:firstLine="426"/>
      </w:pPr>
    </w:p>
    <w:p w:rsidR="00936A6B" w:rsidRDefault="00936A6B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М</w:t>
      </w:r>
    </w:p>
    <w:p w:rsidR="00936A6B" w:rsidRDefault="00936A6B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етоды анализа</w:t>
      </w:r>
    </w:p>
    <w:p w:rsidR="00936A6B" w:rsidRDefault="00936A6B">
      <w:pPr>
        <w:spacing w:before="0"/>
        <w:ind w:firstLine="0"/>
      </w:pPr>
      <w:r>
        <w:t>За единицу анализа было принято отдельное суждение -- логически завершенная и тематически самостоятельная часть высказывания одного эксперта при ответе на один вопрос.</w:t>
      </w:r>
    </w:p>
    <w:p w:rsidR="00936A6B" w:rsidRDefault="00936A6B">
      <w:pPr>
        <w:ind w:firstLine="426"/>
      </w:pPr>
      <w:r>
        <w:t>Частотный анализ проводился на основании тематического и смыслового сходства суждений всех экспертов. Результаты приведены в процентах от общего числа суждений, сформулированных экспертами. Для одиночных суждений проценты не приводятся.</w:t>
      </w:r>
    </w:p>
    <w:p w:rsidR="00936A6B" w:rsidRDefault="00936A6B">
      <w:pPr>
        <w:spacing w:line="360" w:lineRule="auto"/>
        <w:ind w:firstLine="709"/>
      </w:pPr>
    </w:p>
    <w:p w:rsidR="00936A6B" w:rsidRDefault="00936A6B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Р</w:t>
      </w:r>
    </w:p>
    <w:p w:rsidR="00936A6B" w:rsidRDefault="00936A6B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езультаты</w:t>
      </w:r>
    </w:p>
    <w:p w:rsidR="00936A6B" w:rsidRDefault="00936A6B">
      <w:pPr>
        <w:spacing w:before="0"/>
        <w:ind w:firstLine="0"/>
      </w:pPr>
      <w:r>
        <w:rPr>
          <w:b/>
          <w:bCs/>
          <w:color w:val="000080"/>
        </w:rPr>
        <w:t>I.</w:t>
      </w:r>
      <w:r>
        <w:t xml:space="preserve"> Для анализа экспертных ответов на</w:t>
      </w:r>
      <w:r>
        <w:rPr>
          <w:b/>
          <w:bCs/>
          <w:color w:val="000080"/>
        </w:rPr>
        <w:t xml:space="preserve"> первый вопрос</w:t>
      </w:r>
      <w:r>
        <w:t xml:space="preserve"> было отобрано 220 суждений. Мнения экспертов об экспансии московских телекомпаний в региональном телеэфире разделились следующим образом:</w:t>
      </w:r>
    </w:p>
    <w:p w:rsidR="00936A6B" w:rsidRDefault="00936A6B" w:rsidP="009045C8">
      <w:pPr>
        <w:numPr>
          <w:ilvl w:val="0"/>
          <w:numId w:val="1"/>
        </w:numPr>
        <w:ind w:firstLine="426"/>
      </w:pPr>
      <w:r>
        <w:t xml:space="preserve">Экспансия налицо: московские коммерческие каналы скоро вытеснят местные и московские государственные каналы (10% суждений). </w:t>
      </w:r>
    </w:p>
    <w:p w:rsidR="00936A6B" w:rsidRDefault="00936A6B" w:rsidP="009045C8">
      <w:pPr>
        <w:numPr>
          <w:ilvl w:val="0"/>
          <w:numId w:val="1"/>
        </w:numPr>
        <w:ind w:firstLine="426"/>
      </w:pPr>
      <w:r>
        <w:t>Экспансии московских коммерческих телекомпаний в региональном телеэфире нет: ни одна из них не пользуется популярностью у регионального зрителя</w:t>
      </w:r>
      <w:r>
        <w:rPr>
          <w:lang w:val="en-US"/>
        </w:rPr>
        <w:t>;</w:t>
      </w:r>
      <w:r>
        <w:t xml:space="preserve"> московские каналы вещают ограниченно – лишь на города, в то время как на селе про них не знают; в будущем экспансия возможна (10%  суждений).</w:t>
      </w:r>
    </w:p>
    <w:p w:rsidR="00936A6B" w:rsidRDefault="00936A6B" w:rsidP="009045C8">
      <w:pPr>
        <w:numPr>
          <w:ilvl w:val="0"/>
          <w:numId w:val="1"/>
        </w:numPr>
        <w:ind w:firstLine="426"/>
      </w:pPr>
      <w:r>
        <w:t>Наиболее активен в региональном телеэфире канал “ТВ 6 Москва” (8% суж</w:t>
      </w:r>
      <w:r>
        <w:rPr>
          <w:lang w:val="en-US"/>
        </w:rPr>
        <w:softHyphen/>
      </w:r>
      <w:r>
        <w:t>дений)</w:t>
      </w:r>
      <w:r>
        <w:rPr>
          <w:lang w:val="en-US"/>
        </w:rPr>
        <w:t>;</w:t>
      </w:r>
      <w:r>
        <w:t xml:space="preserve"> каналы “СТС”, “ТВ-Центр”, “REN TV”, “ТНТ” активны в равной степени (от 3% до 2% суждений).</w:t>
      </w:r>
    </w:p>
    <w:p w:rsidR="00936A6B" w:rsidRDefault="00936A6B" w:rsidP="009045C8">
      <w:pPr>
        <w:numPr>
          <w:ilvl w:val="0"/>
          <w:numId w:val="1"/>
        </w:numPr>
        <w:ind w:firstLine="426"/>
      </w:pPr>
      <w:r>
        <w:t xml:space="preserve">Местные телеканалы не занимаются созданием собственных программ, а ретранслируют центральные, что позволяет им заполнить сетку вещания. У местных телеканалов не хватает средств, чтобы выпускать программы и заполнить весь предоставленный им объем вещания (5% суждений). </w:t>
      </w:r>
    </w:p>
    <w:p w:rsidR="00936A6B" w:rsidRDefault="00936A6B">
      <w:pPr>
        <w:ind w:firstLine="426"/>
      </w:pPr>
      <w:r>
        <w:rPr>
          <w:i/>
          <w:iCs/>
          <w:color w:val="800000"/>
        </w:rPr>
        <w:t>Одиночные мнения:</w:t>
      </w:r>
      <w:r>
        <w:t xml:space="preserve"> московские ком</w:t>
      </w:r>
      <w:r>
        <w:rPr>
          <w:lang w:val="en-US"/>
        </w:rPr>
        <w:softHyphen/>
      </w:r>
      <w:r>
        <w:t>мер</w:t>
      </w:r>
      <w:r>
        <w:rPr>
          <w:lang w:val="en-US"/>
        </w:rPr>
        <w:softHyphen/>
      </w:r>
      <w:r>
        <w:t>ческие каналы принимаются лишь на импортных телевизорах, а у большинства населения региона — старые советские, которые транслируют лишь 3 канала</w:t>
      </w:r>
      <w:r>
        <w:rPr>
          <w:lang w:val="en-US"/>
        </w:rPr>
        <w:t>;</w:t>
      </w:r>
      <w:r>
        <w:t xml:space="preserve"> ситуация в региональном эфире постоянно меняется</w:t>
      </w:r>
      <w:r>
        <w:rPr>
          <w:lang w:val="en-US"/>
        </w:rPr>
        <w:t xml:space="preserve">; </w:t>
      </w:r>
      <w:r>
        <w:t>любая экспансия разбивается о право зрителя выбирать тот или иной канал.</w:t>
      </w:r>
    </w:p>
    <w:p w:rsidR="00936A6B" w:rsidRDefault="00936A6B">
      <w:pPr>
        <w:ind w:firstLine="426"/>
      </w:pPr>
    </w:p>
    <w:p w:rsidR="00936A6B" w:rsidRDefault="00936A6B">
      <w:pPr>
        <w:spacing w:before="140"/>
      </w:pPr>
      <w:r>
        <w:rPr>
          <w:b/>
          <w:bCs/>
          <w:color w:val="000080"/>
        </w:rPr>
        <w:t>II.</w:t>
      </w:r>
      <w:r>
        <w:rPr>
          <w:b/>
          <w:bCs/>
        </w:rPr>
        <w:t xml:space="preserve"> </w:t>
      </w:r>
      <w:r>
        <w:t>Для анализа ответа на</w:t>
      </w:r>
      <w:r>
        <w:rPr>
          <w:b/>
          <w:bCs/>
          <w:color w:val="000080"/>
        </w:rPr>
        <w:t xml:space="preserve"> второй вопрос</w:t>
      </w:r>
      <w:r>
        <w:t xml:space="preserve"> отобрано 110 суждений. Их можно объединить в следующие группы:</w:t>
      </w:r>
    </w:p>
    <w:p w:rsidR="00936A6B" w:rsidRDefault="00936A6B" w:rsidP="009045C8">
      <w:pPr>
        <w:numPr>
          <w:ilvl w:val="0"/>
          <w:numId w:val="2"/>
        </w:numPr>
        <w:spacing w:before="140"/>
      </w:pPr>
      <w:r>
        <w:t>Конкуренция между московскими и местными каналами практически отсутствует, они существуют в разных нишах, сегодня можно говорить о симбиотическом сосуществовании московских и местных каналов: московскими каналами интересуются больше, но местным больше доверяют. Если сейчас и можно говорить о какой-либо конкуренции, то скорее о конкуренции московских каналов между собой (21% суждений).</w:t>
      </w:r>
    </w:p>
    <w:p w:rsidR="00936A6B" w:rsidRDefault="00936A6B" w:rsidP="009045C8">
      <w:pPr>
        <w:numPr>
          <w:ilvl w:val="0"/>
          <w:numId w:val="2"/>
        </w:numPr>
        <w:spacing w:before="180"/>
      </w:pPr>
      <w:r>
        <w:t>Московские каналы превосходят местные по уровню профессионализма</w:t>
      </w:r>
      <w:r>
        <w:rPr>
          <w:lang w:val="en-US"/>
        </w:rPr>
        <w:t>;</w:t>
      </w:r>
      <w:r>
        <w:t xml:space="preserve"> местное телевидение зависит от региональной власти</w:t>
      </w:r>
      <w:r>
        <w:rPr>
          <w:lang w:val="en-US"/>
        </w:rPr>
        <w:t>;</w:t>
      </w:r>
      <w:r>
        <w:t xml:space="preserve"> кроме того, нередко у местного телевидения нет своего канала (13% суждений).</w:t>
      </w:r>
    </w:p>
    <w:p w:rsidR="00936A6B" w:rsidRDefault="00936A6B" w:rsidP="009045C8">
      <w:pPr>
        <w:numPr>
          <w:ilvl w:val="0"/>
          <w:numId w:val="2"/>
        </w:numPr>
        <w:spacing w:before="180"/>
      </w:pPr>
      <w:r>
        <w:t xml:space="preserve">Местные новости зритель смотрит по местному телевидению – это единственный источник информации о событиях в регионе (11% суждений). </w:t>
      </w:r>
    </w:p>
    <w:p w:rsidR="00936A6B" w:rsidRDefault="00936A6B" w:rsidP="009045C8">
      <w:pPr>
        <w:numPr>
          <w:ilvl w:val="0"/>
          <w:numId w:val="2"/>
        </w:numPr>
        <w:spacing w:before="180"/>
      </w:pPr>
      <w:r>
        <w:t>Появление московских коммерческих каналов позитивно влияет на региональный телеэфир, так как способствует конкуренции, заставляет местные каналы подтягиваться до уровня московских. Кроме того, по московским каналам зрители чаще смотрят фильмы и развлекательные программы (9% суждений).</w:t>
      </w:r>
    </w:p>
    <w:p w:rsidR="00936A6B" w:rsidRDefault="00936A6B" w:rsidP="009045C8">
      <w:pPr>
        <w:numPr>
          <w:ilvl w:val="0"/>
          <w:numId w:val="2"/>
        </w:numPr>
        <w:spacing w:before="180"/>
      </w:pPr>
      <w:r>
        <w:t>Местные каналы, в частности местные государственные, превосходят московские (9% суждений).</w:t>
      </w:r>
    </w:p>
    <w:p w:rsidR="00936A6B" w:rsidRDefault="00936A6B" w:rsidP="009045C8">
      <w:pPr>
        <w:numPr>
          <w:ilvl w:val="0"/>
          <w:numId w:val="2"/>
        </w:numPr>
        <w:spacing w:before="180"/>
      </w:pPr>
      <w:r>
        <w:t>Появление московских каналов ведет к негативным последствиям: во-первых, к потере местными компаниями рекламодателей (местная реклама передается бегущей строкой в программах центральных каналов); во-вторых, у сотрудников местных телеканалов пропадает стимул работать, а сами телеканалы не развиваются творчески и технически</w:t>
      </w:r>
      <w:r>
        <w:rPr>
          <w:lang w:val="en-US"/>
        </w:rPr>
        <w:t>;</w:t>
      </w:r>
      <w:r>
        <w:t xml:space="preserve"> в-третьих, московские каналы пропагандируют американский образ жизни, нивелируют культурные ценности (4% суждений).</w:t>
      </w:r>
    </w:p>
    <w:p w:rsidR="00936A6B" w:rsidRDefault="00936A6B" w:rsidP="009045C8">
      <w:pPr>
        <w:numPr>
          <w:ilvl w:val="0"/>
          <w:numId w:val="2"/>
        </w:numPr>
        <w:spacing w:before="180"/>
      </w:pPr>
      <w:r>
        <w:t>От появления в телеэфире новых каналов в конечном итоге выигрывает зритель: расширяется его кругозор, он получает возможность иметь более объективную информацию о событиях в стране (4% суждений).</w:t>
      </w:r>
    </w:p>
    <w:p w:rsidR="00936A6B" w:rsidRDefault="00936A6B" w:rsidP="009045C8">
      <w:pPr>
        <w:numPr>
          <w:ilvl w:val="0"/>
          <w:numId w:val="2"/>
        </w:numPr>
        <w:spacing w:before="180"/>
      </w:pPr>
      <w:r>
        <w:t>Появление московских коммерческих каналов не вносит существенных изменений и не приведет к каким-либо последствиям (2% суждений).</w:t>
      </w:r>
    </w:p>
    <w:p w:rsidR="00936A6B" w:rsidRDefault="00936A6B">
      <w:pPr>
        <w:spacing w:before="180"/>
        <w:ind w:firstLine="426"/>
      </w:pPr>
    </w:p>
    <w:p w:rsidR="00936A6B" w:rsidRDefault="00936A6B">
      <w:pPr>
        <w:spacing w:before="180"/>
        <w:ind w:firstLine="426"/>
      </w:pPr>
      <w:r>
        <w:rPr>
          <w:i/>
          <w:iCs/>
          <w:color w:val="800000"/>
        </w:rPr>
        <w:t>Одиночные мнения:</w:t>
      </w:r>
      <w:r>
        <w:rPr>
          <w:i/>
          <w:iCs/>
        </w:rPr>
        <w:t xml:space="preserve"> </w:t>
      </w:r>
      <w:r>
        <w:t xml:space="preserve"> московские каналы дают более полное представление о проблемах столичной элиты</w:t>
      </w:r>
      <w:r>
        <w:rPr>
          <w:lang w:val="en-US"/>
        </w:rPr>
        <w:t xml:space="preserve">; </w:t>
      </w:r>
      <w:r>
        <w:t>субъективизм и ангажированность московских каналов резко контрастируют с жизнью провинции</w:t>
      </w:r>
      <w:r>
        <w:rPr>
          <w:lang w:val="en-US"/>
        </w:rPr>
        <w:t xml:space="preserve">; </w:t>
      </w:r>
      <w:r>
        <w:t>сейчас можно говорить не о конкурентной борьбе за зрителя, а о полном пренебрежении его интересами</w:t>
      </w:r>
      <w:r>
        <w:rPr>
          <w:lang w:val="en-US"/>
        </w:rPr>
        <w:t>;</w:t>
      </w:r>
      <w:r>
        <w:t xml:space="preserve"> оставляет желать лучшего качество сигнала.</w:t>
      </w:r>
    </w:p>
    <w:p w:rsidR="00936A6B" w:rsidRDefault="00936A6B">
      <w:pPr>
        <w:ind w:firstLine="709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936A6B" w:rsidRDefault="00936A6B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В</w:t>
      </w:r>
    </w:p>
    <w:p w:rsidR="00936A6B" w:rsidRDefault="00936A6B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ыводы</w:t>
      </w:r>
    </w:p>
    <w:p w:rsidR="00936A6B" w:rsidRDefault="00936A6B">
      <w:pPr>
        <w:spacing w:before="0"/>
        <w:ind w:firstLine="0"/>
      </w:pPr>
      <w:r>
        <w:rPr>
          <w:b/>
          <w:bCs/>
        </w:rPr>
        <w:t>1.</w:t>
      </w:r>
      <w:r>
        <w:t xml:space="preserve"> По мнению элиты региональных СМИ, едва ли сегодня можно говорить об экспансии московских коммерческих компаний, создавших собственные телесети в региональном телеэфире. Правильнее было бы отметить, что данные компании начали проникать в региональный эфир, а их  экспансия ожидается в ближайшем будущем. Московские каналы вещают в основном в городах, на селе их не принимают. Наиболее активен канал “ТВ 6 Москва”. </w:t>
      </w:r>
    </w:p>
    <w:p w:rsidR="00936A6B" w:rsidRDefault="00936A6B">
      <w:pPr>
        <w:ind w:firstLine="426"/>
      </w:pPr>
      <w:r>
        <w:br w:type="column"/>
      </w:r>
      <w:r>
        <w:rPr>
          <w:b/>
          <w:bCs/>
        </w:rPr>
        <w:t>2.</w:t>
      </w:r>
      <w:r>
        <w:t xml:space="preserve"> Конкуренции между  московскими и местными каналами практически нет как из-за разницы в профессиональном и техническом уровне, так и вследствие различной “специализации”: московские каналы привлекают зрителя не столько информационными программами, сколько фильмами, развлекательными передачами, а местные — региональными новостями. </w:t>
      </w:r>
    </w:p>
    <w:p w:rsidR="00936A6B" w:rsidRDefault="00936A6B">
      <w:pPr>
        <w:ind w:firstLine="426"/>
        <w:rPr>
          <w:lang w:val="en-US"/>
        </w:rPr>
      </w:pPr>
      <w:r>
        <w:rPr>
          <w:b/>
          <w:bCs/>
        </w:rPr>
        <w:t xml:space="preserve">3. </w:t>
      </w:r>
      <w:r>
        <w:t xml:space="preserve">В конкурентной борьбе за зрителя выигрывают московские коммерческие компании. </w:t>
      </w:r>
    </w:p>
    <w:p w:rsidR="00936A6B" w:rsidRDefault="00936A6B">
      <w:pPr>
        <w:ind w:firstLine="709"/>
        <w:sectPr w:rsidR="00936A6B"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936A6B" w:rsidRDefault="00936A6B">
      <w:pPr>
        <w:ind w:firstLine="709"/>
      </w:pPr>
    </w:p>
    <w:sectPr w:rsidR="00936A6B" w:rsidSect="00936A6B">
      <w:type w:val="continuous"/>
      <w:pgSz w:w="11907" w:h="16840" w:code="9"/>
      <w:pgMar w:top="851" w:right="851" w:bottom="1134" w:left="1134" w:header="567" w:footer="939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6B" w:rsidRDefault="00936A6B">
      <w:r>
        <w:separator/>
      </w:r>
    </w:p>
  </w:endnote>
  <w:endnote w:type="continuationSeparator" w:id="1">
    <w:p w:rsidR="00936A6B" w:rsidRDefault="0093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6B" w:rsidRDefault="00936A6B">
    <w:pPr>
      <w:pStyle w:val="Footer"/>
      <w:tabs>
        <w:tab w:val="clear" w:pos="4153"/>
        <w:tab w:val="clear" w:pos="8306"/>
        <w:tab w:val="left" w:pos="4395"/>
        <w:tab w:val="left" w:pos="7088"/>
      </w:tabs>
      <w:rPr>
        <w:rFonts w:ascii="TextBook Cyr" w:hAnsi="TextBook Cyr" w:cs="TextBook Cyr"/>
        <w:sz w:val="18"/>
        <w:szCs w:val="18"/>
      </w:rPr>
    </w:pPr>
    <w:r>
      <w:rPr>
        <w:rFonts w:ascii="Arial" w:hAnsi="Arial" w:cs="Arial"/>
        <w:sz w:val="18"/>
        <w:szCs w:val="18"/>
      </w:rPr>
      <w:t>Сообщение № 389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3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3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“Общественное мнение”</w:t>
    </w:r>
  </w:p>
  <w:p w:rsidR="00936A6B" w:rsidRDefault="00936A6B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6B" w:rsidRDefault="00936A6B">
    <w:pPr>
      <w:pStyle w:val="Footer"/>
      <w:tabs>
        <w:tab w:val="clear" w:pos="4153"/>
        <w:tab w:val="clear" w:pos="8306"/>
        <w:tab w:val="left" w:pos="4395"/>
        <w:tab w:val="left" w:pos="7088"/>
      </w:tabs>
    </w:pPr>
    <w:r>
      <w:rPr>
        <w:rFonts w:ascii="Arial" w:hAnsi="Arial" w:cs="Arial"/>
        <w:sz w:val="18"/>
        <w:szCs w:val="18"/>
      </w:rPr>
      <w:t>Сообщение № 389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3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“Общественное мнение”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6B" w:rsidRDefault="00936A6B">
      <w:r>
        <w:separator/>
      </w:r>
    </w:p>
  </w:footnote>
  <w:footnote w:type="continuationSeparator" w:id="1">
    <w:p w:rsidR="00936A6B" w:rsidRDefault="00936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2DFE"/>
    <w:multiLevelType w:val="singleLevel"/>
    <w:tmpl w:val="702A8D16"/>
    <w:lvl w:ilvl="0">
      <w:start w:val="1"/>
      <w:numFmt w:val="decimal"/>
      <w:lvlText w:val="%1."/>
      <w:legacy w:legacy="1" w:legacySpace="113" w:legacyIndent="0"/>
      <w:lvlJc w:val="left"/>
    </w:lvl>
  </w:abstractNum>
  <w:abstractNum w:abstractNumId="1">
    <w:nsid w:val="4B827894"/>
    <w:multiLevelType w:val="singleLevel"/>
    <w:tmpl w:val="702A8D16"/>
    <w:lvl w:ilvl="0">
      <w:start w:val="1"/>
      <w:numFmt w:val="decimal"/>
      <w:lvlText w:val="%1."/>
      <w:legacy w:legacy="1" w:legacySpace="113" w:legacyIndent="0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5C8"/>
    <w:rsid w:val="009045C8"/>
    <w:rsid w:val="0093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color w:val="008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F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F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F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F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F0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F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F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F0B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spacing w:line="240" w:lineRule="atLeast"/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F0B"/>
    <w:rPr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2F0B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2F0B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877</Words>
  <Characters>5004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Masha Katsva</dc:creator>
  <cp:keywords/>
  <dc:description/>
  <cp:lastModifiedBy>Rimskiy</cp:lastModifiedBy>
  <cp:revision>2</cp:revision>
  <cp:lastPrinted>1998-07-29T11:23:00Z</cp:lastPrinted>
  <dcterms:created xsi:type="dcterms:W3CDTF">2017-08-01T18:31:00Z</dcterms:created>
  <dcterms:modified xsi:type="dcterms:W3CDTF">2017-08-01T18:31:00Z</dcterms:modified>
</cp:coreProperties>
</file>